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194"/>
      <w:bookmarkStart w:id="7" w:name="_Toc15378442"/>
      <w:bookmarkStart w:id="8" w:name="_Toc15396598"/>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泸县人力资源和社会保障局决算</w:t>
      </w:r>
      <w:bookmarkEnd w:id="6"/>
      <w:bookmarkEnd w:id="7"/>
      <w:bookmarkEnd w:id="8"/>
      <w:bookmarkEnd w:id="9"/>
      <w:bookmarkEnd w:id="10"/>
      <w:bookmarkEnd w:id="11"/>
      <w:r>
        <w:rPr>
          <w:rFonts w:hint="eastAsia" w:ascii="方正小标宋简体" w:hAnsi="宋体" w:eastAsia="方正小标宋简体"/>
          <w:color w:val="000000"/>
          <w:sz w:val="72"/>
          <w:szCs w:val="72"/>
          <w:lang w:val="en-US" w:eastAsia="zh-CN"/>
        </w:rPr>
        <w:t>公示</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rPr>
          <w:rFonts w:hint="eastAsia"/>
          <w:lang w:val="en-US" w:eastAsia="zh-CN"/>
        </w:rPr>
        <w:t>1</w:t>
      </w:r>
      <w:r>
        <w:rPr>
          <w:rFonts w:hint="eastAsia"/>
        </w:rPr>
        <w:t>年1</w:t>
      </w:r>
      <w:r>
        <w:rPr>
          <w:rFonts w:hint="eastAsia"/>
          <w:lang w:val="en-US" w:eastAsia="zh-CN"/>
        </w:rPr>
        <w:t>1</w:t>
      </w:r>
      <w:r>
        <w:rPr>
          <w:rFonts w:hint="eastAsia"/>
        </w:rPr>
        <w:t>月2</w:t>
      </w:r>
      <w:r>
        <w:rPr>
          <w:rFonts w:hint="eastAsia"/>
          <w:lang w:val="en-US" w:eastAsia="zh-CN"/>
        </w:rPr>
        <w:t>3</w:t>
      </w:r>
      <w:r>
        <w:rPr>
          <w:rFonts w:hint="eastAsia"/>
        </w:rPr>
        <w:t>日</w:t>
      </w:r>
    </w:p>
    <w:p/>
    <w:p>
      <w:pPr>
        <w:pStyle w:val="10"/>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第一部分 部门概况…………………………………………………………………4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一、基本职能及主要工作………………………………………………………4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二、机构设置……………………………………………………………………5</w:t>
      </w:r>
    </w:p>
    <w:p>
      <w:pPr>
        <w:pStyle w:val="10"/>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第二部分 部门决算情况说明………………………………………………………5</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一、收入支出决算总体情况说明………………………………………………5</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二、收入决算情况说明…………………………………………………………6</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三、支出决算情况说明…………………………………………………………6</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四、财政拨款收入支出决算总体情况说明……………………………………6</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五、一般公共预算财政拨款支出决算情况说明………………………………6</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六、一般公共预算财政拨款基本支出决算情况说明…………………………10</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七、“三公”经费财政拨款支出决算情况说明………………………………11</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八、政府性基金预算支出决算情况说明………………………………………12</w:t>
      </w:r>
    </w:p>
    <w:p>
      <w:pPr>
        <w:pStyle w:val="11"/>
        <w:adjustRightInd w:val="0"/>
        <w:snapToGrid w:val="0"/>
        <w:spacing w:line="440" w:lineRule="exact"/>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 国有资本经营预算支出决算情况说明…………………………………12</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十、其他重要事项的情况说明…………………………………………………12</w:t>
      </w:r>
    </w:p>
    <w:p>
      <w:pPr>
        <w:pStyle w:val="10"/>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第三部分 名词解释…………………………………………………………………21</w:t>
      </w:r>
    </w:p>
    <w:p>
      <w:pPr>
        <w:pStyle w:val="10"/>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第四部分 附件………………………………………………………………………26</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附件1……………………………………………………………………………26</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附件2……………………………………………………………………………29</w:t>
      </w:r>
    </w:p>
    <w:p>
      <w:pPr>
        <w:pStyle w:val="10"/>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第五部分 附表………………………………………………………………………34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一、收入支出决算总表…………………………………………………………34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二、收入决算表…………………………………………………………………34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四、财政拨款收入支出决算总表………………………………………………34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五、财政拨款支出决算明细表…………………………………………………34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六、一般公共预算财政拨款支出决算表………………………………………34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七、一般公共预算财政拨款支出决算明细表…………………………………34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八、一般公共预算财政拨款基本支出决算表…………………………………34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九、一般公共预算财政拨款项目支出决算表…………………………………34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十、一般公共预算财政拨款“三公”经费支出决算表………………………34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十一、政府性基金预算财政拨款收入支出决算表……………………………34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十二、政府性基金预算财政拨款“三公”经费支出决算表…………………34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十三、国有资本经营预算财政拨款收入支出决算表…………………………34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十四、国有资本经营预算财政拨款支出决算表………………………………34</w:t>
      </w:r>
    </w:p>
    <w:p>
      <w:pPr>
        <w:pStyle w:val="11"/>
        <w:adjustRightInd w:val="0"/>
        <w:snapToGrid w:val="0"/>
        <w:spacing w:line="440" w:lineRule="exact"/>
        <w:jc w:val="left"/>
        <w:rPr>
          <w:rFonts w:hint="eastAsia" w:ascii="宋体" w:hAnsi="宋体" w:eastAsia="宋体" w:cs="宋体"/>
          <w:kern w:val="2"/>
          <w:sz w:val="24"/>
          <w:szCs w:val="24"/>
          <w:lang w:val="en-US" w:eastAsia="zh-CN" w:bidi="ar-SA"/>
        </w:rPr>
      </w:pPr>
    </w:p>
    <w:p>
      <w:pPr>
        <w:widowControl/>
        <w:adjustRightInd w:val="0"/>
        <w:snapToGrid w:val="0"/>
        <w:spacing w:line="440" w:lineRule="exact"/>
        <w:ind w:firstLine="1320" w:firstLineChars="550"/>
        <w:jc w:val="left"/>
        <w:rPr>
          <w:rFonts w:ascii="仿宋" w:hAnsi="仿宋" w:eastAsia="仿宋"/>
          <w:color w:val="FF0000"/>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Calibri" w:eastAsia="仿宋_GB2312" w:cs="Times New Roman"/>
          <w:color w:val="auto"/>
          <w:kern w:val="2"/>
          <w:sz w:val="32"/>
          <w:szCs w:val="32"/>
          <w:lang w:val="en-US" w:eastAsia="zh-CN" w:bidi="ar-SA"/>
        </w:rPr>
      </w:pPr>
      <w:bookmarkStart w:id="18" w:name="_Toc15378446"/>
      <w:bookmarkStart w:id="19" w:name="_Toc15377199"/>
      <w:r>
        <w:rPr>
          <w:rFonts w:hint="eastAsia" w:ascii="Times New Roman" w:hAnsi="Calibri" w:eastAsia="仿宋_GB2312" w:cs="Times New Roman"/>
          <w:color w:val="auto"/>
          <w:kern w:val="2"/>
          <w:sz w:val="32"/>
          <w:szCs w:val="32"/>
          <w:lang w:val="en-US" w:eastAsia="zh-CN" w:bidi="ar-SA"/>
        </w:rPr>
        <w:t>贯彻执行人力资源和社会保障工作的相关法律、法规、规章和政策，拟订全县人力资源和社会保障事业发展规划、政策并组织实施和监督检查；拟订并组织实施人力资源市场发展规划和人力资源流动政策；拟订统筹城乡的就业发展规划和政策；统筹建立覆盖城乡的社会保障体系；负责事业人员的管理工作；负责劳动争议调解仲裁、劳动监察、</w:t>
      </w:r>
      <w:r>
        <w:rPr>
          <w:rFonts w:hint="eastAsia" w:ascii="Times New Roman" w:eastAsia="仿宋_GB2312" w:cs="Times New Roman"/>
          <w:color w:val="auto"/>
          <w:kern w:val="2"/>
          <w:sz w:val="32"/>
          <w:szCs w:val="32"/>
          <w:lang w:val="en-US" w:eastAsia="zh-CN" w:bidi="ar-SA"/>
        </w:rPr>
        <w:t>专业技术人员管理</w:t>
      </w:r>
      <w:r>
        <w:rPr>
          <w:rFonts w:hint="eastAsia" w:ascii="Times New Roman" w:hAnsi="Calibri" w:eastAsia="仿宋_GB2312" w:cs="Times New Roman"/>
          <w:color w:val="auto"/>
          <w:kern w:val="2"/>
          <w:sz w:val="32"/>
          <w:szCs w:val="32"/>
          <w:lang w:val="en-US" w:eastAsia="zh-CN" w:bidi="ar-SA"/>
        </w:rPr>
        <w:t>等工作的贯彻落实。</w:t>
      </w:r>
    </w:p>
    <w:p>
      <w:pPr>
        <w:pStyle w:val="5"/>
        <w:adjustRightInd w:val="0"/>
        <w:snapToGrid w:val="0"/>
        <w:spacing w:before="93" w:line="600" w:lineRule="exact"/>
        <w:ind w:firstLine="320" w:firstLineChars="10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hint="eastAsia" w:ascii="仿宋" w:hAnsi="仿宋" w:eastAsia="仿宋"/>
          <w:bCs/>
          <w:color w:val="000000"/>
          <w:sz w:val="32"/>
          <w:szCs w:val="32"/>
          <w:lang w:val="en-US" w:eastAsia="zh-CN"/>
        </w:rPr>
        <w:t>2020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
          <w:bCs/>
          <w:sz w:val="32"/>
          <w:szCs w:val="32"/>
        </w:rPr>
        <w:t>2020年，全县就业形势总体稳定，新增就业6615</w:t>
      </w:r>
      <w:r>
        <w:rPr>
          <w:rFonts w:hint="eastAsia" w:hAnsi="仿宋"/>
          <w:bCs/>
          <w:sz w:val="32"/>
          <w:szCs w:val="32"/>
          <w:lang w:eastAsia="zh-CN"/>
        </w:rPr>
        <w:t>人；</w:t>
      </w:r>
      <w:r>
        <w:rPr>
          <w:rFonts w:hint="eastAsia" w:hAnsi="仿宋"/>
          <w:bCs/>
          <w:sz w:val="32"/>
          <w:szCs w:val="32"/>
        </w:rPr>
        <w:t>社会保障体系不断完善，养老保险覆盖达75万余人次。强化事业单位队伍建设，稳妥做好2020年事业单位公招工作</w:t>
      </w:r>
      <w:r>
        <w:rPr>
          <w:rFonts w:hint="eastAsia" w:hAnsi="仿宋"/>
          <w:bCs/>
          <w:sz w:val="32"/>
          <w:szCs w:val="32"/>
          <w:lang w:eastAsia="zh-CN"/>
        </w:rPr>
        <w:t>；</w:t>
      </w:r>
      <w:r>
        <w:rPr>
          <w:rFonts w:hint="eastAsia" w:hAnsi="仿宋"/>
          <w:bCs/>
          <w:sz w:val="32"/>
          <w:szCs w:val="32"/>
        </w:rPr>
        <w:t>成功迎接国务院保障农民工工资支付2019年度考核工作，着力构建和谐劳动关系，建立欠薪治理长效机制</w:t>
      </w:r>
      <w:r>
        <w:rPr>
          <w:rFonts w:hint="eastAsia" w:hAnsi="仿宋"/>
          <w:bCs/>
          <w:sz w:val="32"/>
          <w:szCs w:val="32"/>
          <w:lang w:eastAsia="zh-CN"/>
        </w:rPr>
        <w:t>；</w:t>
      </w:r>
      <w:r>
        <w:rPr>
          <w:rFonts w:hint="eastAsia" w:hAnsi="仿宋"/>
          <w:bCs/>
          <w:sz w:val="32"/>
          <w:szCs w:val="32"/>
        </w:rPr>
        <w:t>抓好就业社保专项扶贫工作，全县累计促进贫困劳动者转移就业16778人，开发公益性岗位安置贫困劳动者2425人。认真贯彻落实各级关于农民工工作要求部署，成立农民工服务专班，全力稳定农民工就业。今年6月，我县被四川省委办公厅、省政府办公厅发文表彰为全省去冬今春农民工服务保障工作先进单位，连续两年获此殊荣。积极应对疫情影响，深入落实阶段性减免社保费政策，截至目前，共为1902家企业和个体工商户减免1.4亿元。加强防控一线人员关心关爱工作，督促落实疫情防治人员临时性工作补助、卫生防疫津贴、核增不纳入基数的一次性绩效工资总量等政策。</w:t>
      </w:r>
    </w:p>
    <w:p>
      <w:pPr>
        <w:pStyle w:val="3"/>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ind w:firstLine="800" w:firstLineChars="25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泸县人力资源和社会保障局下属二级单位2个，其中行政单位0个，参照公务员法管理的事业单位1个，其他事业单位1个。</w:t>
      </w:r>
    </w:p>
    <w:p>
      <w:pPr>
        <w:pStyle w:val="5"/>
        <w:adjustRightInd w:val="0"/>
        <w:snapToGrid w:val="0"/>
        <w:spacing w:before="93" w:line="600" w:lineRule="exact"/>
        <w:ind w:firstLine="672" w:firstLineChars="21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纳入泸县人力资源和社会保障局20</w:t>
      </w:r>
      <w:r>
        <w:rPr>
          <w:rFonts w:hint="eastAsia" w:hAnsi="仿宋_GB2312" w:cs="仿宋_GB2312"/>
          <w:kern w:val="0"/>
          <w:sz w:val="32"/>
          <w:szCs w:val="32"/>
          <w:lang w:val="en-US" w:eastAsia="zh-CN" w:bidi="ar-SA"/>
        </w:rPr>
        <w:t>20</w:t>
      </w:r>
      <w:r>
        <w:rPr>
          <w:rFonts w:hint="eastAsia" w:ascii="仿宋_GB2312" w:hAnsi="仿宋_GB2312" w:eastAsia="仿宋_GB2312" w:cs="仿宋_GB2312"/>
          <w:kern w:val="0"/>
          <w:sz w:val="32"/>
          <w:szCs w:val="32"/>
          <w:lang w:val="en-US" w:eastAsia="zh-CN" w:bidi="ar-SA"/>
        </w:rPr>
        <w:t>年度部门决算编制范围的二级预算单位包括：</w:t>
      </w:r>
    </w:p>
    <w:p>
      <w:pPr>
        <w:pStyle w:val="5"/>
        <w:numPr>
          <w:ilvl w:val="0"/>
          <w:numId w:val="1"/>
        </w:numPr>
        <w:adjustRightInd w:val="0"/>
        <w:snapToGrid w:val="0"/>
        <w:spacing w:before="93" w:line="600" w:lineRule="exact"/>
        <w:outlineLvl w:val="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泸县劳动保障监察大队</w:t>
      </w:r>
    </w:p>
    <w:p>
      <w:pPr>
        <w:pStyle w:val="5"/>
        <w:numPr>
          <w:ilvl w:val="0"/>
          <w:numId w:val="1"/>
        </w:numPr>
        <w:adjustRightInd w:val="0"/>
        <w:snapToGrid w:val="0"/>
        <w:spacing w:before="93" w:line="600" w:lineRule="exact"/>
        <w:outlineLvl w:val="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泸县人才服务中心</w:t>
      </w:r>
    </w:p>
    <w:p>
      <w:pPr>
        <w:pStyle w:val="2"/>
        <w:ind w:right="440"/>
        <w:jc w:val="right"/>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w:t>
      </w:r>
      <w:r>
        <w:rPr>
          <w:rStyle w:val="26"/>
          <w:rFonts w:hint="eastAsia" w:ascii="黑体" w:hAnsi="黑体" w:eastAsia="黑体"/>
          <w:b w:val="0"/>
          <w:bCs w:val="0"/>
          <w:lang w:val="en-US" w:eastAsia="zh-CN"/>
        </w:rPr>
        <w:t>20</w:t>
      </w:r>
      <w:r>
        <w:rPr>
          <w:rStyle w:val="26"/>
          <w:rFonts w:hint="eastAsia" w:ascii="黑体" w:hAnsi="黑体" w:eastAsia="黑体"/>
          <w:b w:val="0"/>
          <w:bCs w:val="0"/>
        </w:rPr>
        <w:t>年度部门决算情况说明</w:t>
      </w:r>
      <w:bookmarkEnd w:id="22"/>
      <w:bookmarkEnd w:id="23"/>
    </w:p>
    <w:p/>
    <w:p>
      <w:pPr>
        <w:pStyle w:val="25"/>
        <w:numPr>
          <w:ilvl w:val="0"/>
          <w:numId w:val="2"/>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2020年度收入总计838.34万元。与2019年相比，收入总计减少554.01万元，下降39.79%。</w:t>
      </w:r>
      <w:r>
        <w:rPr>
          <w:rFonts w:hint="eastAsia" w:ascii="仿宋_GB2312" w:hAnsi="仿宋_GB2312" w:eastAsia="仿宋_GB2312" w:cs="仿宋_GB2312"/>
          <w:color w:val="auto"/>
          <w:kern w:val="0"/>
          <w:sz w:val="32"/>
          <w:szCs w:val="32"/>
          <w:lang w:val="en-US" w:eastAsia="zh-CN" w:bidi="ar-SA"/>
        </w:rPr>
        <w:t>主要变动原因是2020年年初财政结转和结余539.10万元,成为我单位2020年财政应返还额度，导致与2019年收入差距。</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2020年度支出总计1343.84万元。与2019年相比，支出总计增加35.65万元，增长2.73%。主要变动原因是2019年部分项目开展由于时间延续性，在2020年完成，因此涉及到2019年相关项目结转资金支出。</w:t>
      </w:r>
    </w:p>
    <w:p>
      <w:pPr>
        <w:pStyle w:val="25"/>
        <w:numPr>
          <w:ilvl w:val="0"/>
          <w:numId w:val="2"/>
        </w:numPr>
        <w:spacing w:line="600" w:lineRule="exact"/>
        <w:ind w:firstLineChars="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本年收入合计838.34万元，其中：一般公共预算财政拨款收入838.34万元，占100%；政府性基金预算财政拨款收入0万元，占0%；上级补助收入0万元，占0%；事业收入0万元，占0%；经营收入0万元，占0%；附属单位上缴收入0万元，占0%；其他收入0万元，占0%。</w:t>
      </w:r>
    </w:p>
    <w:p>
      <w:pPr>
        <w:pStyle w:val="25"/>
        <w:numPr>
          <w:ilvl w:val="0"/>
          <w:numId w:val="2"/>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2020年本年支出合计1343.84万元，其中：基本支出972.12万元，占72.34%；项目支出371.72万元，占27.66%；上缴上级支出0万元，占0%；经营支出0万元，占0%；对附属单位补助支出0万元，占0%。</w:t>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hint="eastAsia" w:ascii="仿宋_GB2312" w:hAnsi="仿宋_GB2312" w:eastAsia="仿宋_GB2312" w:cs="仿宋_GB2312"/>
          <w:kern w:val="0"/>
          <w:sz w:val="32"/>
          <w:szCs w:val="32"/>
          <w:lang w:val="en-US" w:eastAsia="zh-CN" w:bidi="ar-SA"/>
        </w:rPr>
        <w:t>2020年财政拨款收入总计1377.44万元。其中一般公共预算财政拨款838.34万元，年初财政结转和结余539.10万元；与2019年相比，财政拨款收入总计减少173.79万元，减少11.2%。主要变动原因是2019年部分项目开展由于时间延续性，在2020年完成，因此涉及到2019年相关项目结转资金支出。</w:t>
      </w: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color w:val="000000"/>
          <w:sz w:val="32"/>
          <w:szCs w:val="32"/>
          <w:lang w:eastAsia="zh-CN"/>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一般公共预算财政拨款支出1343.84万元，占本年支出合计的100%。与2019年相比，一般公共预算财政拨款减少173.79万元，减少11.2%。主要变动原因是2019年部分项目开展由于时间延续性，在2020年完成，因此涉及到2019年相关项目结转资金支出。</w:t>
      </w:r>
      <w:bookmarkStart w:id="35"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一般公共预算财政拨款支出1343.84万元，主要用于以下方面:一般公共服务（类）支出210.10万元，占15.63%；教育支出（类）6.97万元，占0.52%；科学技术（类）支出2万元，占0.15%；文化旅游体育与传媒（类）支出0万元，占0%；社会保障和就业（类）支出1055.98万元，占78.58%；卫生健康支出（类）31.86万元，占2.37%；住房保障支出（类）36.93万元，占2.75%</w:t>
      </w:r>
      <w:bookmarkStart w:id="36" w:name="_Toc15377212"/>
      <w:r>
        <w:rPr>
          <w:rFonts w:hint="eastAsia" w:ascii="仿宋_GB2312" w:hAnsi="仿宋_GB2312" w:eastAsia="仿宋_GB2312" w:cs="仿宋_GB2312"/>
          <w:kern w:val="0"/>
          <w:sz w:val="32"/>
          <w:szCs w:val="32"/>
          <w:lang w:val="en-US" w:eastAsia="zh-CN" w:bidi="ar-SA"/>
        </w:rPr>
        <w:t>。</w:t>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lang w:val="en-US" w:eastAsia="zh-CN"/>
        </w:rPr>
        <w:t>2020</w:t>
      </w:r>
      <w:r>
        <w:rPr>
          <w:rFonts w:hint="eastAsia" w:ascii="仿宋" w:hAnsi="仿宋" w:eastAsia="仿宋"/>
          <w:b/>
          <w:color w:val="000000" w:themeColor="text1"/>
          <w:sz w:val="32"/>
          <w:szCs w:val="32"/>
        </w:rPr>
        <w:t>年一般公共预算支出决算数为</w:t>
      </w:r>
      <w:r>
        <w:rPr>
          <w:rFonts w:hint="eastAsia" w:ascii="仿宋" w:hAnsi="仿宋" w:eastAsia="仿宋"/>
          <w:b/>
          <w:color w:val="000000" w:themeColor="text1"/>
          <w:sz w:val="32"/>
          <w:szCs w:val="32"/>
          <w:lang w:val="en-US" w:eastAsia="zh-CN"/>
        </w:rPr>
        <w:t>1343.84</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97.56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numPr>
          <w:ilvl w:val="0"/>
          <w:numId w:val="3"/>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一般公共服务（类）统计信息事务（款）专项统计业务（项）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20.25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75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第四季考核要等明年</w:t>
      </w:r>
      <w:r>
        <w:rPr>
          <w:rStyle w:val="16"/>
          <w:rFonts w:hint="eastAsia" w:ascii="仿宋" w:hAnsi="仿宋" w:eastAsia="仿宋"/>
          <w:b w:val="0"/>
          <w:bCs/>
          <w:color w:val="000000"/>
          <w:sz w:val="32"/>
          <w:szCs w:val="32"/>
          <w:lang w:val="en-US" w:eastAsia="zh-CN"/>
        </w:rPr>
        <w:t>1月进行考核后才能发放。</w:t>
      </w:r>
    </w:p>
    <w:p>
      <w:pPr>
        <w:numPr>
          <w:ilvl w:val="0"/>
          <w:numId w:val="0"/>
        </w:numPr>
        <w:spacing w:line="600" w:lineRule="exact"/>
        <w:ind w:firstLine="964" w:firstLineChars="300"/>
        <w:rPr>
          <w:rStyle w:val="16"/>
          <w:rFonts w:hint="eastAsia" w:ascii="仿宋" w:hAnsi="仿宋" w:eastAsia="仿宋"/>
          <w:b w:val="0"/>
          <w:bCs/>
          <w:color w:val="auto"/>
          <w:sz w:val="32"/>
          <w:szCs w:val="32"/>
          <w:lang w:eastAsia="zh-CN"/>
        </w:rPr>
      </w:pPr>
      <w:r>
        <w:rPr>
          <w:rStyle w:val="16"/>
          <w:rFonts w:hint="eastAsia" w:ascii="仿宋" w:hAnsi="仿宋" w:eastAsia="仿宋"/>
          <w:bCs/>
          <w:color w:val="000000"/>
          <w:sz w:val="32"/>
          <w:szCs w:val="32"/>
        </w:rPr>
        <w:t>一般公共服务（类）人力资源事务（款）一般行政管理事务（项）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1.33</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26.6</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lang w:eastAsia="zh-CN"/>
        </w:rPr>
        <w:t>，</w:t>
      </w:r>
      <w:r>
        <w:rPr>
          <w:rStyle w:val="16"/>
          <w:rFonts w:hint="eastAsia" w:ascii="仿宋" w:hAnsi="仿宋" w:eastAsia="仿宋"/>
          <w:b w:val="0"/>
          <w:bCs/>
          <w:color w:val="auto"/>
          <w:sz w:val="32"/>
          <w:szCs w:val="32"/>
        </w:rPr>
        <w:t>决算数小于预算数的主要原因是</w:t>
      </w:r>
      <w:r>
        <w:rPr>
          <w:rStyle w:val="16"/>
          <w:rFonts w:hint="eastAsia" w:ascii="仿宋" w:hAnsi="仿宋" w:eastAsia="仿宋"/>
          <w:b w:val="0"/>
          <w:bCs/>
          <w:color w:val="auto"/>
          <w:sz w:val="32"/>
          <w:szCs w:val="32"/>
          <w:lang w:val="en-US" w:eastAsia="zh-CN"/>
        </w:rPr>
        <w:t>2020年较少购买办公设备等</w:t>
      </w:r>
      <w:r>
        <w:rPr>
          <w:rStyle w:val="16"/>
          <w:rFonts w:hint="eastAsia" w:ascii="仿宋" w:hAnsi="仿宋" w:eastAsia="仿宋"/>
          <w:b w:val="0"/>
          <w:bCs/>
          <w:color w:val="auto"/>
          <w:sz w:val="32"/>
          <w:szCs w:val="32"/>
          <w:lang w:eastAsia="zh-CN"/>
        </w:rPr>
        <w:t>。</w:t>
      </w:r>
    </w:p>
    <w:p>
      <w:pPr>
        <w:numPr>
          <w:ilvl w:val="0"/>
          <w:numId w:val="0"/>
        </w:numPr>
        <w:spacing w:line="600" w:lineRule="exact"/>
        <w:rPr>
          <w:rStyle w:val="16"/>
          <w:rFonts w:hint="eastAsia" w:ascii="仿宋" w:hAnsi="仿宋" w:eastAsia="仿宋"/>
          <w:b w:val="0"/>
          <w:bCs/>
          <w:color w:val="auto"/>
          <w:sz w:val="32"/>
          <w:szCs w:val="32"/>
          <w:lang w:eastAsia="zh-CN"/>
        </w:rPr>
      </w:pPr>
      <w:r>
        <w:rPr>
          <w:rStyle w:val="16"/>
          <w:rFonts w:hint="eastAsia" w:ascii="仿宋" w:hAnsi="仿宋" w:eastAsia="仿宋"/>
          <w:bCs/>
          <w:color w:val="000000"/>
          <w:sz w:val="32"/>
          <w:szCs w:val="32"/>
        </w:rPr>
        <w:t>一般公共服务（类）人力资源事务（款）</w:t>
      </w:r>
      <w:r>
        <w:rPr>
          <w:rStyle w:val="16"/>
          <w:rFonts w:hint="eastAsia" w:ascii="仿宋" w:hAnsi="仿宋" w:eastAsia="仿宋"/>
          <w:bCs/>
          <w:color w:val="000000"/>
          <w:sz w:val="32"/>
          <w:szCs w:val="32"/>
          <w:lang w:eastAsia="zh-CN"/>
        </w:rPr>
        <w:t>事业运行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107.54</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100</w:t>
      </w:r>
      <w:r>
        <w:rPr>
          <w:rStyle w:val="16"/>
          <w:rFonts w:ascii="仿宋" w:hAnsi="仿宋" w:eastAsia="仿宋"/>
          <w:b w:val="0"/>
          <w:bCs/>
          <w:color w:val="auto"/>
          <w:sz w:val="32"/>
          <w:szCs w:val="32"/>
        </w:rPr>
        <w:t>%</w:t>
      </w:r>
    </w:p>
    <w:p>
      <w:pPr>
        <w:spacing w:line="600" w:lineRule="exact"/>
        <w:ind w:firstLine="643" w:firstLineChars="200"/>
        <w:rPr>
          <w:rStyle w:val="16"/>
          <w:rFonts w:hint="eastAsia" w:ascii="仿宋" w:hAnsi="仿宋" w:eastAsia="仿宋"/>
          <w:b w:val="0"/>
          <w:bCs/>
          <w:color w:val="000000"/>
          <w:sz w:val="32"/>
          <w:szCs w:val="32"/>
          <w:highlight w:val="none"/>
          <w:lang w:val="en-US" w:eastAsia="zh-CN"/>
        </w:rPr>
      </w:pPr>
      <w:r>
        <w:rPr>
          <w:rStyle w:val="16"/>
          <w:rFonts w:hint="eastAsia" w:ascii="仿宋" w:hAnsi="仿宋" w:eastAsia="仿宋"/>
          <w:bCs/>
          <w:color w:val="000000"/>
          <w:sz w:val="32"/>
          <w:szCs w:val="32"/>
          <w:highlight w:val="none"/>
        </w:rPr>
        <w:t>一般公共服务（类）人力资源事务（款）其他人力资源事务支出（项）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80.99</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89.99</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lang w:eastAsia="zh-CN"/>
        </w:rPr>
        <w:t>，</w:t>
      </w:r>
      <w:r>
        <w:rPr>
          <w:rStyle w:val="16"/>
          <w:rFonts w:hint="eastAsia" w:ascii="仿宋" w:hAnsi="仿宋" w:eastAsia="仿宋"/>
          <w:b w:val="0"/>
          <w:bCs/>
          <w:color w:val="000000"/>
          <w:sz w:val="32"/>
          <w:szCs w:val="32"/>
          <w:highlight w:val="none"/>
        </w:rPr>
        <w:t>决算数小于预算数的主要原因是</w:t>
      </w:r>
      <w:r>
        <w:rPr>
          <w:rStyle w:val="16"/>
          <w:rFonts w:hint="eastAsia" w:ascii="仿宋" w:hAnsi="仿宋" w:eastAsia="仿宋"/>
          <w:b w:val="0"/>
          <w:bCs/>
          <w:color w:val="000000"/>
          <w:sz w:val="32"/>
          <w:szCs w:val="32"/>
          <w:highlight w:val="none"/>
          <w:lang w:val="en-US" w:eastAsia="zh-CN"/>
        </w:rPr>
        <w:t>2020年下半年人事招考部分项目延续性在2021年开展。</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教育支出（类）进修及培训（款）培训支出（项）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6.97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科学技术支出（类）科技条件与服务（款）技术创新服务体系（项）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社会保障和就业支出（类）人力资源和社会保障管理事务（款）行政运行（项）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736.86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社会保障和就业支出（类）人力资源和社会保障管理事务（款）一般行政管理事务（项）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18.46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94.96</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val="en-US" w:eastAsia="zh-CN"/>
        </w:rPr>
        <w:t>事业人员人事档案化、数字化管理项目延续性开展</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社会保障和就业支出（类）人力资源和社会保障管理事务（款）综合业务管理（项）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社会保障和就业支出（类）人力资源和社会保障管理事务（款）劳动保障监察（项）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8.33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社会保障和就业支出（类）人力资源和社会保障管理事务（款） 社会保险业务管理事务（项）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社会保障和就业支出（类）人力资源和社会保障管理事务（款） 信息化建设（项）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信息化建设</w:t>
      </w:r>
      <w:r>
        <w:rPr>
          <w:rStyle w:val="16"/>
          <w:rFonts w:hint="eastAsia" w:ascii="仿宋" w:hAnsi="仿宋" w:eastAsia="仿宋"/>
          <w:b w:val="0"/>
          <w:bCs/>
          <w:color w:val="000000"/>
          <w:sz w:val="32"/>
          <w:szCs w:val="32"/>
          <w:lang w:val="en-US" w:eastAsia="zh-CN"/>
        </w:rPr>
        <w:t>项目延续性开展</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社会保障和就业支出（类）人力资源和社会保障管理事务（款）劳动人事争议调解仲裁（项）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社会保障和就业支出（类）人力资源和社会保障管理事务（款）其他人力资源和社会保障管理事务支出（项）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189.02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社会保障和就业支出（类）行政事业单位离退休（款）  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50.45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98</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社会保障和就业支出（类）行政事业单位离退休（款）   机关事业单位职业年金缴费支出（项）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3.03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 xml:space="preserve">社会保障和就业支出（类）行政事业单位离退休（款）   </w:t>
      </w:r>
      <w:r>
        <w:rPr>
          <w:rStyle w:val="16"/>
          <w:rFonts w:hint="eastAsia" w:ascii="仿宋" w:hAnsi="仿宋" w:eastAsia="仿宋"/>
          <w:bCs/>
          <w:color w:val="000000"/>
          <w:sz w:val="32"/>
          <w:szCs w:val="32"/>
          <w:lang w:eastAsia="zh-CN"/>
        </w:rPr>
        <w:t>其他行政事业单位养老支出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5.72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hint="eastAsia" w:ascii="仿宋" w:hAnsi="仿宋" w:eastAsia="仿宋"/>
          <w:b w:val="0"/>
          <w:bCs/>
          <w:color w:val="000000"/>
          <w:sz w:val="32"/>
          <w:szCs w:val="32"/>
        </w:rPr>
      </w:pP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社会保障和就业支出（类）抚恤（款）</w:t>
      </w:r>
      <w:r>
        <w:rPr>
          <w:rStyle w:val="16"/>
          <w:rFonts w:hint="eastAsia" w:ascii="仿宋" w:hAnsi="仿宋" w:eastAsia="仿宋"/>
          <w:bCs/>
          <w:color w:val="000000"/>
          <w:sz w:val="32"/>
          <w:szCs w:val="32"/>
          <w:lang w:eastAsia="zh-CN"/>
        </w:rPr>
        <w:t>死亡</w:t>
      </w:r>
      <w:r>
        <w:rPr>
          <w:rStyle w:val="16"/>
          <w:rFonts w:hint="eastAsia" w:ascii="仿宋" w:hAnsi="仿宋" w:eastAsia="仿宋"/>
          <w:bCs/>
          <w:color w:val="000000"/>
          <w:sz w:val="32"/>
          <w:szCs w:val="32"/>
        </w:rPr>
        <w:t>抚恤（项）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0"/>
        </w:numPr>
        <w:spacing w:line="600" w:lineRule="exact"/>
        <w:ind w:firstLine="643" w:firstLineChars="200"/>
        <w:jc w:val="left"/>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rPr>
        <w:t>5.</w:t>
      </w:r>
      <w:r>
        <w:rPr>
          <w:rFonts w:hint="eastAsia" w:ascii="仿宋" w:hAnsi="仿宋" w:eastAsia="仿宋"/>
          <w:b/>
          <w:bCs/>
          <w:color w:val="000000" w:themeColor="text1"/>
          <w:sz w:val="32"/>
          <w:szCs w:val="32"/>
        </w:rPr>
        <w:t>卫生健康支出</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23.24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99</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0"/>
        </w:numPr>
        <w:spacing w:line="600" w:lineRule="exact"/>
        <w:ind w:firstLine="64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rPr>
        <w:t>卫生健康支出</w:t>
      </w:r>
      <w:r>
        <w:rPr>
          <w:rStyle w:val="16"/>
          <w:rFonts w:hint="eastAsia" w:ascii="仿宋" w:hAnsi="仿宋" w:eastAsia="仿宋"/>
          <w:bCs/>
          <w:color w:val="000000"/>
          <w:sz w:val="32"/>
          <w:szCs w:val="32"/>
        </w:rPr>
        <w:t>（类）行政事业单位医疗（款）事业单位医疗（项）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8.61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rPr>
        <w:t>6.</w:t>
      </w:r>
      <w:r>
        <w:rPr>
          <w:rFonts w:hint="eastAsia" w:ascii="仿宋" w:hAnsi="仿宋" w:eastAsia="仿宋"/>
          <w:b/>
          <w:bCs/>
          <w:color w:val="000000" w:themeColor="text1"/>
          <w:sz w:val="32"/>
          <w:szCs w:val="32"/>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36.93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bookmarkStart w:id="40" w:name="_Toc15396608"/>
      <w:bookmarkStart w:id="41" w:name="_Toc15377214"/>
    </w:p>
    <w:p>
      <w:pPr>
        <w:tabs>
          <w:tab w:val="right" w:pos="8306"/>
        </w:tabs>
        <w:spacing w:line="600" w:lineRule="exact"/>
        <w:ind w:firstLine="640"/>
        <w:outlineLvl w:val="1"/>
        <w:rPr>
          <w:rStyle w:val="2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2020年一般公共预算财政拨款基本支出972.12万元，其中：</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人员经费815.78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kern w:val="0"/>
          <w:sz w:val="32"/>
          <w:szCs w:val="32"/>
          <w:lang w:val="en-US" w:eastAsia="zh-CN" w:bidi="ar-SA"/>
        </w:rPr>
        <w:br w:type="textWrapping"/>
      </w:r>
      <w:r>
        <w:rPr>
          <w:rFonts w:hint="eastAsia" w:ascii="仿宋_GB2312" w:hAnsi="仿宋_GB2312" w:eastAsia="仿宋_GB2312" w:cs="仿宋_GB2312"/>
          <w:kern w:val="0"/>
          <w:sz w:val="32"/>
          <w:szCs w:val="32"/>
          <w:lang w:val="en-US" w:eastAsia="zh-CN" w:bidi="ar-SA"/>
        </w:rPr>
        <w:t>　　日常公用经费156.34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2020年“三公”经费财政拨款支出决算为0.44万元，完成预算4.88%，决算数小于预算数的主要原因是2020年严格控制我单位的公务接待。</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2020年“三公”经费财政拨款支出决算中，因公出国（境）费支出决算0万元，占0%；公务用车购置及运行维护费支出决算0万元，占0%；公务接待费支出决算0.44万元，占100%。具体情况如下：</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1.因公出国（境）经费支出0万元，完成预算0%。全年安排因公出国（境）团组0次，出国（境）0人。因公出国（境）支出决算与2019年一致，主要原因是我单位2019年与2020年均未发生因公出国（境）情况。</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2.公务用车购置及运行维护费支出0万元,完成预算0%。公务用车购置及运行维护费支出决算与2019年一致，主要原因是我单位未有公务车所有权（县机关事务办统一管理）。</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其中：公务用车购置支出0万元。全年按规定更新购置公务用车0辆，金额0元。截至2020年12月底，单位共有公务用车0辆，其中：主要领导干部用车0辆、机要通信用车0辆、应急保障用车0辆、 执法执勤用车0辆；</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公务用车运行维护费支出0万元。</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3.公务接待费支出0.44万元，完成预算4.88%。公务接待费支出决算比2019年增加0.39万元。主要原因是2020年我单位迎接省、市关于劳动监察和仲裁工作检查。</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其中：</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国内公务接待支出0.44万元，主要用于执行公务、开展业务活动开支的交通费、住宿费、用餐费等。国内公务接待5批次，56人次（不包括陪同人员），共计支出0.44万元，具体内容包括：迎接省厅开展保障农民工工资支付考核迎检调研工作用餐、省人社厅、省农民工服务中心到我县考察考调对象用餐、迎接市人社局根治拖欠农民工工资工作检查用餐、泸州市人社局基金监督现场检查用餐、市人社局到我县开展调解仲裁工作检查用餐，共计支出0.44万元。</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外事接待支出0万元，外事接待0批次，0人，共计支出0万元。</w:t>
      </w:r>
      <w:bookmarkStart w:id="46" w:name="_Toc15377218"/>
      <w:bookmarkStart w:id="47"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年政府性基金预算拨款支出0万元。</w:t>
      </w:r>
    </w:p>
    <w:p>
      <w:pPr>
        <w:numPr>
          <w:ilvl w:val="0"/>
          <w:numId w:val="4"/>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年国有资本经营预算拨款支出0万元。</w:t>
      </w:r>
    </w:p>
    <w:p>
      <w:pPr>
        <w:spacing w:line="600" w:lineRule="exact"/>
        <w:ind w:firstLine="640" w:firstLineChars="200"/>
        <w:outlineLvl w:val="1"/>
        <w:rPr>
          <w:rStyle w:val="2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泸县人力资源和社会保障局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140.88</w:t>
      </w:r>
      <w:r>
        <w:rPr>
          <w:rFonts w:hint="eastAsia" w:ascii="仿宋_GB2312" w:eastAsia="仿宋_GB2312"/>
          <w:color w:val="000000"/>
          <w:sz w:val="32"/>
          <w:szCs w:val="32"/>
        </w:rPr>
        <w:t>万元，比</w:t>
      </w:r>
      <w:r>
        <w:rPr>
          <w:rFonts w:hint="eastAsia" w:ascii="仿宋_GB2312" w:eastAsia="仿宋_GB2312"/>
          <w:color w:val="000000"/>
          <w:sz w:val="32"/>
          <w:szCs w:val="32"/>
          <w:lang w:val="en-US" w:eastAsia="zh-CN"/>
        </w:rPr>
        <w:t>2019年增加67.98</w:t>
      </w:r>
      <w:r>
        <w:rPr>
          <w:rFonts w:hint="eastAsia" w:ascii="仿宋_GB2312" w:eastAsia="仿宋_GB2312"/>
          <w:color w:val="000000"/>
          <w:sz w:val="32"/>
          <w:szCs w:val="32"/>
        </w:rPr>
        <w:t>万元。</w:t>
      </w:r>
      <w:r>
        <w:rPr>
          <w:rFonts w:hint="eastAsia" w:ascii="仿宋_GB2312" w:eastAsia="仿宋_GB2312"/>
          <w:color w:val="000000" w:themeColor="text1"/>
          <w:sz w:val="32"/>
          <w:szCs w:val="32"/>
        </w:rPr>
        <w:t>主要原因</w:t>
      </w:r>
      <w:r>
        <w:rPr>
          <w:rFonts w:hint="eastAsia" w:ascii="仿宋_GB2312" w:eastAsia="仿宋_GB2312"/>
          <w:color w:val="000000" w:themeColor="text1"/>
          <w:sz w:val="32"/>
          <w:szCs w:val="32"/>
          <w:lang w:eastAsia="zh-CN"/>
        </w:rPr>
        <w:t>一</w:t>
      </w:r>
      <w:r>
        <w:rPr>
          <w:rFonts w:hint="eastAsia" w:ascii="仿宋_GB2312" w:eastAsia="仿宋_GB2312"/>
          <w:color w:val="000000" w:themeColor="text1"/>
          <w:sz w:val="32"/>
          <w:szCs w:val="32"/>
        </w:rPr>
        <w:t>是</w:t>
      </w:r>
      <w:r>
        <w:rPr>
          <w:rFonts w:hint="eastAsia" w:ascii="仿宋_GB2312" w:eastAsia="仿宋_GB2312"/>
          <w:color w:val="000000" w:themeColor="text1"/>
          <w:sz w:val="32"/>
          <w:szCs w:val="32"/>
          <w:lang w:val="en-US" w:eastAsia="zh-CN"/>
        </w:rPr>
        <w:t>2020年物价上涨、疫情防控、创文等相关运行经费支出增加；二是将上争外引工作经费新增到行政运行经费中。</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泸县人力资源和社会保障局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1.62</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1.32</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购会议室空调</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日，泸县人社局共有车辆0辆，其中：主要领导干部用车0辆、机要通信用车0辆、应急保障用车0辆、其他用车0辆；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总体符合预算编制规范化要求，但具体项目支出预算编制可执行度还是欠缺</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个项目支出绩效评价，从评价情况来看专业技术职称评审工作经费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3万元，执行数3万元，完成预算的100%；</w:t>
      </w:r>
      <w:r>
        <w:rPr>
          <w:rFonts w:hint="eastAsia" w:ascii="仿宋_GB2312" w:hAnsi="仿宋_GB2312" w:eastAsia="仿宋_GB2312" w:cs="仿宋_GB2312"/>
          <w:sz w:val="32"/>
          <w:szCs w:val="32"/>
        </w:rPr>
        <w:t>县福利委员会经费（临时困难补助）</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4万元，执行数4万元，完成预算的100%；</w:t>
      </w:r>
      <w:r>
        <w:rPr>
          <w:rFonts w:hint="eastAsia" w:ascii="仿宋_GB2312" w:hAnsi="仿宋_GB2312" w:eastAsia="仿宋_GB2312" w:cs="仿宋_GB2312"/>
          <w:sz w:val="32"/>
          <w:szCs w:val="32"/>
        </w:rPr>
        <w:t>人事人才业务管理平台维护费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2万元，执行数2万元，完成预算的100%；</w:t>
      </w:r>
      <w:r>
        <w:rPr>
          <w:rFonts w:hint="eastAsia" w:ascii="仿宋_GB2312" w:hAnsi="仿宋_GB2312" w:eastAsia="仿宋_GB2312" w:cs="仿宋_GB2312"/>
          <w:sz w:val="32"/>
          <w:szCs w:val="32"/>
        </w:rPr>
        <w:t>劳动保障监察工作经费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5万元，执行数5万元，完成预算的100%；</w:t>
      </w:r>
      <w:r>
        <w:rPr>
          <w:rFonts w:hint="eastAsia" w:ascii="仿宋_GB2312" w:hAnsi="仿宋_GB2312" w:eastAsia="仿宋_GB2312" w:cs="仿宋_GB2312"/>
          <w:sz w:val="32"/>
          <w:szCs w:val="32"/>
        </w:rPr>
        <w:t>三支一扶工作经费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2万元，执行数2万元，完成预算的100%；</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年度部门决算中反映“专业技术职称评审工作经费</w:t>
      </w:r>
      <w:r>
        <w:rPr>
          <w:rFonts w:hint="eastAsia" w:ascii="仿宋_GB2312" w:hAnsi="仿宋_GB2312" w:eastAsia="仿宋_GB2312" w:cs="仿宋_GB2312"/>
          <w:sz w:val="32"/>
          <w:szCs w:val="32"/>
          <w:lang w:eastAsia="zh-CN"/>
        </w:rPr>
        <w:t>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县福利委员会经费（临时困难补助）</w:t>
      </w:r>
      <w:r>
        <w:rPr>
          <w:rFonts w:hint="eastAsia" w:ascii="仿宋_GB2312" w:hAnsi="仿宋_GB2312" w:eastAsia="仿宋_GB2312" w:cs="仿宋_GB2312"/>
          <w:sz w:val="32"/>
          <w:szCs w:val="32"/>
          <w:lang w:eastAsia="zh-CN"/>
        </w:rPr>
        <w:t>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“人事人才业务管理平台维护费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“劳动保障监察工作经费项目”“</w:t>
      </w:r>
      <w:r>
        <w:rPr>
          <w:rFonts w:hint="eastAsia" w:ascii="仿宋_GB2312" w:hAnsi="仿宋_GB2312" w:eastAsia="仿宋_GB2312" w:cs="仿宋_GB2312"/>
          <w:sz w:val="32"/>
          <w:szCs w:val="32"/>
        </w:rPr>
        <w:t>三支一扶工作经费</w:t>
      </w:r>
      <w:r>
        <w:rPr>
          <w:rFonts w:hint="eastAsia" w:ascii="仿宋_GB2312" w:hAnsi="仿宋_GB2312" w:eastAsia="仿宋_GB2312" w:cs="仿宋_GB2312"/>
          <w:sz w:val="32"/>
          <w:szCs w:val="32"/>
          <w:lang w:eastAsia="zh-CN"/>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6"/>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专业技术职称评审工作经费项目绩效目标完成情况综述。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3万元，执行数3万元，完成预算的100%</w:t>
      </w:r>
      <w:r>
        <w:rPr>
          <w:rFonts w:hint="eastAsia" w:ascii="仿宋_GB2312" w:hAnsi="仿宋_GB2312" w:eastAsia="仿宋_GB2312" w:cs="仿宋_GB2312"/>
          <w:sz w:val="32"/>
          <w:szCs w:val="32"/>
        </w:rPr>
        <w:t>。通过项目实施，有效促进我县人才队伍的建设，确保20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年度泸县专业技术职称评审工作顺利完成。</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val="en-US" w:eastAsia="zh-CN"/>
              </w:rPr>
              <w:t>2020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专业技术职称评审工作经费项目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w:t>
            </w:r>
            <w:r>
              <w:rPr>
                <w:rFonts w:hint="eastAsia" w:ascii="宋体" w:hAnsi="宋体" w:cs="宋体"/>
                <w:color w:val="000000"/>
                <w:sz w:val="24"/>
                <w:lang w:val="en-US" w:eastAsia="zh-CN"/>
              </w:rPr>
              <w:t>2020</w:t>
            </w:r>
            <w:r>
              <w:rPr>
                <w:rFonts w:hint="eastAsia" w:ascii="宋体" w:hAnsi="宋体" w:cs="宋体"/>
                <w:color w:val="000000"/>
                <w:sz w:val="24"/>
              </w:rPr>
              <w:t>年度泸县专业技术职称评审工作顺利完成。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年度泸县专业技术职称评审工作顺利完成。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职称评审次数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专家劳务费标准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200-400元/小时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200-400元/小时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工作人员劳务费标准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1.工作日，外单位人员200-400元/小时；2.公休日，≤上年度城镇非私营单位在岗职工平均工资的2倍；3.法定节假日，≤上年度城镇非私营单位在岗职工平均工资的3倍。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工作日，外单位人员200-400元/小时；2.公休日，≤上年度城镇非私营单位在岗职工平均工资的2倍；3.法定节假日，≤上年度城镇非私营单位在岗职工平均工资的3倍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评审中发生的除上述以外与评审工作有关的费用，按国家、省、市相关规定执行。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评审中发生的除上述以外与评审工作有关的费用，按国家、省、市相关规定执行。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有效促进我县人才队伍的建设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促进我县人才队伍的建设</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对我县职称评审工作的满意度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6</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6</w:t>
            </w:r>
            <w:r>
              <w:rPr>
                <w:rFonts w:hint="eastAsia" w:ascii="宋体" w:hAnsi="宋体" w:cs="宋体"/>
                <w:color w:val="000000"/>
                <w:sz w:val="24"/>
              </w:rPr>
              <w:t>%</w:t>
            </w:r>
          </w:p>
        </w:tc>
      </w:tr>
    </w:tbl>
    <w:p>
      <w:pPr>
        <w:widowControl w:val="0"/>
        <w:numPr>
          <w:ilvl w:val="0"/>
          <w:numId w:val="0"/>
        </w:numPr>
        <w:spacing w:line="580" w:lineRule="exact"/>
        <w:jc w:val="both"/>
        <w:rPr>
          <w:rFonts w:hint="eastAsia" w:ascii="仿宋_GB2312" w:hAnsi="仿宋_GB2312" w:eastAsia="仿宋_GB2312" w:cs="仿宋_GB2312"/>
          <w:sz w:val="32"/>
          <w:szCs w:val="32"/>
        </w:rPr>
      </w:pPr>
    </w:p>
    <w:p>
      <w:pPr>
        <w:numPr>
          <w:ilvl w:val="0"/>
          <w:numId w:val="6"/>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县福利委员会经费（临时困难补助）项目绩效目标完成情况综述。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4万元，执行数4万元，完成预算的100%</w:t>
      </w:r>
      <w:r>
        <w:rPr>
          <w:rFonts w:hint="eastAsia" w:ascii="仿宋_GB2312" w:hAnsi="仿宋_GB2312" w:eastAsia="仿宋_GB2312" w:cs="仿宋_GB2312"/>
          <w:sz w:val="32"/>
          <w:szCs w:val="32"/>
        </w:rPr>
        <w:t>。通过项目实施，给予在职退休人员因病等引发家境特困难的适当慰问。</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县福利委员会经费（临时困难补助）项目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给予在职退休人员因病等引发家境特困难的适当补助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在职退休人员因病等引发家境特困难的</w:t>
            </w:r>
            <w:r>
              <w:rPr>
                <w:rFonts w:hint="eastAsia" w:ascii="宋体" w:hAnsi="宋体" w:cs="宋体"/>
                <w:color w:val="000000"/>
                <w:sz w:val="24"/>
                <w:lang w:eastAsia="zh-CN"/>
              </w:rPr>
              <w:t>得到</w:t>
            </w:r>
            <w:r>
              <w:rPr>
                <w:rFonts w:hint="eastAsia" w:ascii="宋体" w:hAnsi="宋体" w:cs="宋体"/>
                <w:color w:val="000000"/>
                <w:sz w:val="24"/>
              </w:rPr>
              <w:t>适当补助</w:t>
            </w:r>
            <w:r>
              <w:rPr>
                <w:rFonts w:hint="eastAsia" w:ascii="宋体" w:hAnsi="宋体" w:cs="宋体"/>
                <w:color w:val="000000"/>
                <w:sz w:val="24"/>
                <w:lang w:eastAsia="zh-CN"/>
              </w:rPr>
              <w:t>，有效缓解家庭困难</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慰问人数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慰问标准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2000元/人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2000元/人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给予在职退休人员因病等引发家境特困难的适当慰问。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对</w:t>
            </w:r>
            <w:r>
              <w:rPr>
                <w:rFonts w:hint="eastAsia" w:ascii="宋体" w:hAnsi="宋体" w:cs="宋体"/>
                <w:color w:val="000000"/>
                <w:sz w:val="24"/>
              </w:rPr>
              <w:t>在职退休人员因病等引发家境特困难的适当慰问。</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受助群体对该项工作的满意度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numPr>
          <w:ilvl w:val="0"/>
          <w:numId w:val="0"/>
        </w:numPr>
        <w:spacing w:line="580" w:lineRule="exact"/>
        <w:ind w:leftChars="200"/>
        <w:rPr>
          <w:rFonts w:hint="eastAsia" w:ascii="仿宋_GB2312" w:hAnsi="仿宋_GB2312" w:eastAsia="仿宋_GB2312" w:cs="仿宋_GB2312"/>
          <w:sz w:val="32"/>
          <w:szCs w:val="32"/>
        </w:rPr>
      </w:pPr>
    </w:p>
    <w:p>
      <w:pPr>
        <w:numPr>
          <w:ilvl w:val="0"/>
          <w:numId w:val="6"/>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人事人才业务管理平台维护费项目绩效目标完成情况综述。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2万元，执行数2万元，完成预算的100%</w:t>
      </w:r>
      <w:r>
        <w:rPr>
          <w:rFonts w:hint="eastAsia" w:ascii="仿宋_GB2312" w:hAnsi="仿宋_GB2312" w:eastAsia="仿宋_GB2312" w:cs="仿宋_GB2312"/>
          <w:sz w:val="32"/>
          <w:szCs w:val="32"/>
        </w:rPr>
        <w:t>。通过项目实施，通过使用人事人才业务管理平台，简化办事流程，提高办事效率，更加全面有效地推进我县人事人才工作的网络化管理。</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人事人才业务管理平台维护费项目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每年对人事人才业务管理平台进行维护，推进我县人事人才工作网络化管理。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对人事人才业务管理平台</w:t>
            </w:r>
            <w:r>
              <w:rPr>
                <w:rFonts w:hint="eastAsia" w:ascii="宋体" w:hAnsi="宋体" w:cs="宋体"/>
                <w:color w:val="000000"/>
                <w:sz w:val="24"/>
                <w:lang w:eastAsia="zh-CN"/>
              </w:rPr>
              <w:t>随时</w:t>
            </w:r>
            <w:r>
              <w:rPr>
                <w:rFonts w:hint="eastAsia" w:ascii="宋体" w:hAnsi="宋体" w:cs="宋体"/>
                <w:color w:val="000000"/>
                <w:sz w:val="24"/>
              </w:rPr>
              <w:t>进行维护，</w:t>
            </w:r>
            <w:r>
              <w:rPr>
                <w:rFonts w:hint="eastAsia" w:ascii="宋体" w:hAnsi="宋体" w:cs="宋体"/>
                <w:color w:val="000000"/>
                <w:sz w:val="24"/>
                <w:lang w:eastAsia="zh-CN"/>
              </w:rPr>
              <w:t>有效</w:t>
            </w:r>
            <w:r>
              <w:rPr>
                <w:rFonts w:hint="eastAsia" w:ascii="宋体" w:hAnsi="宋体" w:cs="宋体"/>
                <w:color w:val="000000"/>
                <w:sz w:val="24"/>
              </w:rPr>
              <w:t>推进我县人事人才工作网络化管理。</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万元，按合同结算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通过使用人事人才业务管理平台，简化办事流程，提高办事效率，更加全面有效地推进我县人事人才工作的网络化管理。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简化办事流程，提高办事效率，更加全面有效地推进我县人事人才工作的网络化管理。</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各单位人事工作者满意度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numPr>
          <w:ilvl w:val="0"/>
          <w:numId w:val="0"/>
        </w:numPr>
        <w:spacing w:line="580" w:lineRule="exact"/>
        <w:ind w:leftChars="200"/>
        <w:rPr>
          <w:rFonts w:hint="eastAsia" w:ascii="仿宋_GB2312" w:hAnsi="仿宋_GB2312" w:eastAsia="仿宋_GB2312" w:cs="仿宋_GB2312"/>
          <w:sz w:val="32"/>
          <w:szCs w:val="32"/>
        </w:rPr>
      </w:pPr>
    </w:p>
    <w:p>
      <w:pPr>
        <w:numPr>
          <w:ilvl w:val="0"/>
          <w:numId w:val="6"/>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劳动保障监察工作经费</w:t>
      </w:r>
      <w:r>
        <w:rPr>
          <w:rFonts w:hint="eastAsia" w:ascii="仿宋_GB2312" w:hAnsi="仿宋_GB2312" w:eastAsia="仿宋_GB2312" w:cs="仿宋_GB2312"/>
          <w:sz w:val="32"/>
          <w:szCs w:val="32"/>
        </w:rPr>
        <w:t>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5万元，执行数5万元，完成预算的100%</w:t>
      </w:r>
      <w:r>
        <w:rPr>
          <w:rFonts w:hint="eastAsia" w:ascii="仿宋_GB2312" w:hAnsi="仿宋_GB2312" w:eastAsia="仿宋_GB2312" w:cs="仿宋_GB2312"/>
          <w:sz w:val="32"/>
          <w:szCs w:val="32"/>
        </w:rPr>
        <w:t>。通过项目实施，确保农民工及时领取工资、调解劳动关系问题，促进劳动关系和谐平稳发展。</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劳动保障监察工作经费</w:t>
            </w:r>
            <w:r>
              <w:rPr>
                <w:rFonts w:hint="eastAsia" w:ascii="宋体" w:hAnsi="宋体" w:cs="宋体"/>
                <w:color w:val="000000"/>
                <w:kern w:val="0"/>
                <w:sz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6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通过调查、调节处理案件及春节前后保障农民工工资支付等工作，确保我县劳动监察工作、劳动关系工作和谐有序开展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通过调查、调节处理案件及春节前后保障农民工工资支付等工作，确保我县劳动监察工作、劳动关系工作和谐有序开展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印发劳动保障检查宣传资料经费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调查、调解处理案件差旅费、邮寄费及春节前后保障农民工工资支付等经费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确保农民工及时领取工资、调解劳动关系问题，促进劳动关系和谐平稳发展。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确保农民工及时领取工资、调解劳动关系问题，促进劳动关系和谐平稳发展。</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办事群众满意度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numPr>
          <w:ilvl w:val="0"/>
          <w:numId w:val="0"/>
        </w:numPr>
        <w:spacing w:line="580" w:lineRule="exact"/>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）三支一扶工作经费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2万元，执行数2万元，完成预算的100%</w:t>
      </w:r>
      <w:r>
        <w:rPr>
          <w:rFonts w:hint="eastAsia" w:ascii="仿宋_GB2312" w:hAnsi="仿宋_GB2312" w:eastAsia="仿宋_GB2312" w:cs="仿宋_GB2312"/>
          <w:sz w:val="32"/>
          <w:szCs w:val="32"/>
        </w:rPr>
        <w:t>。通过项目实施，通过“三支一扶”人员的招募、考核引进为事业单位人员工作的开展，扩展我县人才队伍，让更多人的人才能够到基层服务。</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三支一扶工作经费</w:t>
            </w:r>
            <w:r>
              <w:rPr>
                <w:rFonts w:hint="eastAsia" w:ascii="宋体" w:hAnsi="宋体" w:cs="宋体"/>
                <w:color w:val="000000"/>
                <w:kern w:val="0"/>
                <w:sz w:val="24"/>
                <w:lang w:eastAsia="zh-CN"/>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“三支一扶”人员日常管理、考核、培训等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≥4000元，按实结算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0.5万</w:t>
            </w:r>
            <w:r>
              <w:rPr>
                <w:rFonts w:hint="eastAsia" w:ascii="宋体" w:hAnsi="宋体" w:cs="宋体"/>
                <w:color w:val="00000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新招募人员及“三支一扶”人员考核引进为事业单位人员考务经费等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泸县人力资源和社会保障局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年部门整体支出绩效评价报告》见附件1。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本部门自行组织对专业技术职称评审工作经费项目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县福利委员会经费（临时困难补助）项目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人事人才业务管理平台维护费项目</w:t>
      </w:r>
      <w:r>
        <w:rPr>
          <w:rFonts w:hint="eastAsia" w:ascii="仿宋_GB2312" w:hAnsi="仿宋_GB2312" w:eastAsia="仿宋_GB2312" w:cs="仿宋_GB2312"/>
          <w:sz w:val="32"/>
          <w:szCs w:val="32"/>
          <w:lang w:eastAsia="zh-CN"/>
        </w:rPr>
        <w:t>、劳动保障监察工作经费</w:t>
      </w:r>
      <w:r>
        <w:rPr>
          <w:rFonts w:hint="eastAsia" w:ascii="仿宋_GB2312" w:hAnsi="仿宋_GB2312" w:eastAsia="仿宋_GB2312" w:cs="仿宋_GB2312"/>
          <w:sz w:val="32"/>
          <w:szCs w:val="32"/>
        </w:rPr>
        <w:t>项目项目、三支一扶工作经费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项目开展了绩效评价，《三支一扶工作经费项目</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年绩效评价报告》见附件2。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0" w:firstLineChars="150"/>
        <w:jc w:val="center"/>
        <w:outlineLvl w:val="0"/>
        <w:rPr>
          <w:rStyle w:val="26"/>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hAnsi="Calibri" w:eastAsia="仿宋_GB2312" w:cs="仿宋"/>
          <w:color w:val="000000"/>
          <w:kern w:val="0"/>
          <w:sz w:val="32"/>
          <w:szCs w:val="32"/>
          <w:lang w:val="en-US" w:eastAsia="zh-CN" w:bidi="ar-SA"/>
        </w:rPr>
        <w:t>一般公共服务（类）统计信息事务（款）专项统计业务（项）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反映各级统计机关在日常业务之外开展专项统计工作的支出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一般公共服务（类）人力资源事务（款）一般行政管理事务（项）:指反映行政单位（包括实行公务员管理的事业单位）未单独设置项级科目的其他项目支出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lang w:eastAsia="zh-CN"/>
        </w:rPr>
        <w:t>一般公共服务（类）人力资源事务（款）其他人力资源事务支出（项）：指反映除上述项目以外其他人力资源事务方面的支出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12</w:t>
      </w:r>
      <w:r>
        <w:rPr>
          <w:rFonts w:hint="eastAsia" w:ascii="仿宋_GB2312" w:eastAsia="仿宋_GB2312"/>
          <w:color w:val="000000"/>
          <w:sz w:val="32"/>
          <w:szCs w:val="32"/>
          <w:lang w:eastAsia="zh-CN"/>
        </w:rPr>
        <w:t xml:space="preserve">.教育支出（类）进修及培训（款）培训支出（项）: </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反映各部门安排的用于培训的支出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lang w:eastAsia="zh-CN"/>
        </w:rPr>
        <w:t>科学技术支出（类）科技条件与服务（款）技术创新服务体系（项）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反映国家为企业提供信息、技术、中介等全方位服务和支持，建立健全企业技术服务体系等方面支出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lang w:eastAsia="zh-CN"/>
        </w:rPr>
        <w:t>社会保障和就业支出（类）人力资源和社会保障管理事务（款）行政运行（项）: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lang w:eastAsia="zh-CN"/>
        </w:rPr>
        <w:t>社会保障和就业支出（类）人力资源和社会保障管理事务（款）一般行政管理事务（项）：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lang w:eastAsia="zh-CN"/>
        </w:rPr>
        <w:t>社会保障和就业支出（类）人力资源和社会保障管理事务（款）综合业务管理（项）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反映人力资源和社会保障管理方面综合性管理事务支出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社会保障和就业支出（类）人力资源和社会保障管理事务（款）劳动保障监察（项）：指</w:t>
      </w:r>
      <w:r>
        <w:rPr>
          <w:rFonts w:hint="eastAsia" w:ascii="仿宋_GB2312" w:eastAsia="仿宋_GB2312"/>
          <w:color w:val="000000"/>
          <w:sz w:val="32"/>
          <w:szCs w:val="32"/>
          <w:lang w:eastAsia="zh-CN"/>
        </w:rPr>
        <w:t>反映劳动保障监察事务支出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18.</w:t>
      </w:r>
      <w:r>
        <w:rPr>
          <w:rFonts w:hint="eastAsia" w:ascii="仿宋_GB2312" w:eastAsia="仿宋_GB2312"/>
          <w:color w:val="000000"/>
          <w:sz w:val="32"/>
          <w:szCs w:val="32"/>
        </w:rPr>
        <w:t>社会保障和就业支出（类）人力资源和社会保障管理事务（款） 社会保险业务管理事务（项）：指</w:t>
      </w:r>
      <w:r>
        <w:rPr>
          <w:rFonts w:hint="eastAsia" w:ascii="仿宋_GB2312" w:eastAsia="仿宋_GB2312"/>
          <w:color w:val="000000"/>
          <w:sz w:val="32"/>
          <w:szCs w:val="32"/>
          <w:lang w:eastAsia="zh-CN"/>
        </w:rPr>
        <w:t>反映社会保险业务管理和基金监督方面的支出。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19.社会保障和就业支出（类）人力资源和社会保障管理事务（款） 信息化建设（项）: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反映人力资源和社会保障部门用于信息化建设、运行维护和数据分析等方面的支出，如金保工程、社会保障卡建设和运行维护、人力资源市场信息化等支出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eastAsia="zh-CN"/>
        </w:rPr>
        <w:t>社会保障和就业支出（类）人力资源和社会保障管理事务（款）劳动人事争议调解仲裁（项）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反映仲裁机构实体化建设、办案经费、调解仲裁能力建设等支出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lang w:eastAsia="zh-CN"/>
        </w:rPr>
        <w:t>社会保障和就业支出（类）人力资源和社会保障管理事务（款）其他人力资源和社会保障管理事务支出（项）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反映除上述项目以外其他用于人力资源和社会保障管理事务方面的支出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lang w:eastAsia="zh-CN"/>
        </w:rPr>
        <w:t>社会保障和就业支出（类）行政事业单位离退休（款）  机关事业单位基本养老保险缴费支出（项）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反映机关事务单位实施养老保险制度由单位缴纳的基本养老保险费支出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lang w:eastAsia="zh-CN"/>
        </w:rPr>
        <w:t>社会保障和就业支出（类）行政事业单位离退休（款）   机关事业单位职业年金缴费支出（项）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反映机关事业单位实施养老保险制度由单位实际缴纳的职业年金支出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24.社会保障和就业支出（类）抚恤（款）死亡抚恤（项）：指按规定用于烈士和牺牲、病故人员家属的一次性和定期抚恤金以及丧葬补助费。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25.社会保障和就业支出（类）退役安置（款）军队移交政府的离退休人员安置（项）：指退役士兵的安置和军队移交政府的离退休人员安置及管理机构的支出。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26.卫生健康支出（类）行政事业单位医疗（款）行政单位医疗（项）：指财政部门集中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卫生健康支出（类）行政事业单位医疗（款）事业单位医疗（项）：指财政部门集中安排的事业单位基本医疗保险缴费经费，未参加医疗保险的事业单位的公费医疗经费，按国家规定享受离休人员待遇的医疗经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28.</w:t>
      </w:r>
      <w:r>
        <w:rPr>
          <w:rFonts w:hint="eastAsia" w:ascii="仿宋_GB2312" w:eastAsia="仿宋_GB2312"/>
          <w:color w:val="000000"/>
          <w:sz w:val="32"/>
          <w:szCs w:val="32"/>
          <w:lang w:eastAsia="zh-CN"/>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 xml:space="preserve">.项目支出：指在基本支出之外为完成特定行政任务和事业发展目标所发生的支出。 </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31</w:t>
      </w:r>
      <w:r>
        <w:rPr>
          <w:rFonts w:hint="eastAsia" w:ascii="仿宋_GB2312" w:eastAsia="仿宋_GB2312"/>
          <w:color w:val="000000"/>
          <w:sz w:val="32"/>
          <w:szCs w:val="32"/>
          <w:lang w:eastAsia="zh-CN"/>
        </w:rPr>
        <w:t>.经营支出：指事业单位在专业业务活动及其辅助活动之外开展非独立核算经营活动发生的支出。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40"/>
          <w:szCs w:val="44"/>
          <w:lang w:eastAsia="zh-CN"/>
        </w:rPr>
        <w:t>泸县人力资源和社会保障局</w:t>
      </w:r>
      <w:r>
        <w:rPr>
          <w:rFonts w:hint="eastAsia" w:ascii="方正小标宋简体" w:hAnsi="宋体" w:eastAsia="方正小标宋简体"/>
          <w:color w:val="000000"/>
          <w:kern w:val="0"/>
          <w:sz w:val="40"/>
          <w:szCs w:val="44"/>
          <w:lang w:val="en-US" w:eastAsia="zh-CN"/>
        </w:rPr>
        <w:t>2020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napToGrid w:val="0"/>
        <w:spacing w:line="52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泸县人力资源和社会保障局属泸县人力资源和社会保障局本级，为一级预算单位。下有泸县劳动保障监察大队、泸县人才服务中心为二级预算单位，</w:t>
      </w:r>
      <w:r>
        <w:rPr>
          <w:rFonts w:ascii="仿宋_GB2312" w:hAnsi="仿宋" w:eastAsia="仿宋_GB2312"/>
          <w:sz w:val="32"/>
          <w:szCs w:val="32"/>
        </w:rPr>
        <w:t>财务不</w:t>
      </w:r>
      <w:r>
        <w:rPr>
          <w:rFonts w:hint="eastAsia" w:ascii="仿宋_GB2312" w:hAnsi="仿宋" w:eastAsia="仿宋_GB2312"/>
          <w:sz w:val="32"/>
          <w:szCs w:val="32"/>
        </w:rPr>
        <w:t>独立</w:t>
      </w:r>
      <w:r>
        <w:rPr>
          <w:rFonts w:ascii="仿宋_GB2312" w:hAnsi="仿宋" w:eastAsia="仿宋_GB2312"/>
          <w:sz w:val="32"/>
          <w:szCs w:val="32"/>
        </w:rPr>
        <w:t>核算</w:t>
      </w:r>
      <w:r>
        <w:rPr>
          <w:rFonts w:hint="eastAsia" w:ascii="仿宋_GB2312" w:hAnsi="仿宋" w:eastAsia="仿宋_GB2312"/>
          <w:sz w:val="32"/>
          <w:szCs w:val="32"/>
        </w:rPr>
        <w:t>。</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Calibri" w:eastAsia="仿宋_GB2312" w:cs="Times New Roman"/>
          <w:color w:val="auto"/>
          <w:kern w:val="2"/>
          <w:sz w:val="32"/>
          <w:szCs w:val="32"/>
          <w:lang w:val="en-US" w:eastAsia="zh-CN" w:bidi="ar-SA"/>
        </w:rPr>
      </w:pPr>
      <w:r>
        <w:rPr>
          <w:rFonts w:hint="eastAsia" w:ascii="Times New Roman" w:hAnsi="Calibri" w:eastAsia="仿宋_GB2312" w:cs="Times New Roman"/>
          <w:color w:val="auto"/>
          <w:kern w:val="2"/>
          <w:sz w:val="32"/>
          <w:szCs w:val="32"/>
          <w:lang w:val="en-US" w:eastAsia="zh-CN" w:bidi="ar-SA"/>
        </w:rPr>
        <w:t>贯彻执行人力资源和社会保障工作的相关法律、法规、规章和政策，拟订全县人力资源和社会保障事业发展规划、政策并组织实施和监督检查；拟订并组织实施人力资源市场发展规划和人力资源流动政策；拟订统筹城乡的就业发展规划和政策；统筹建立覆盖城乡的社会保障体系；负责事业人员的管理工作；负责劳动争议调解仲裁、劳动监察、</w:t>
      </w:r>
      <w:r>
        <w:rPr>
          <w:rFonts w:hint="eastAsia" w:ascii="Times New Roman" w:eastAsia="仿宋_GB2312" w:cs="Times New Roman"/>
          <w:color w:val="auto"/>
          <w:kern w:val="2"/>
          <w:sz w:val="32"/>
          <w:szCs w:val="32"/>
          <w:lang w:val="en-US" w:eastAsia="zh-CN" w:bidi="ar-SA"/>
        </w:rPr>
        <w:t>专业技术人员管理</w:t>
      </w:r>
      <w:r>
        <w:rPr>
          <w:rFonts w:hint="eastAsia" w:ascii="Times New Roman" w:hAnsi="Calibri" w:eastAsia="仿宋_GB2312" w:cs="Times New Roman"/>
          <w:color w:val="auto"/>
          <w:kern w:val="2"/>
          <w:sz w:val="32"/>
          <w:szCs w:val="32"/>
          <w:lang w:val="en-US" w:eastAsia="zh-CN" w:bidi="ar-SA"/>
        </w:rPr>
        <w:t>等工作的贯彻落实。</w:t>
      </w:r>
    </w:p>
    <w:p>
      <w:pPr>
        <w:widowControl/>
        <w:numPr>
          <w:ilvl w:val="0"/>
          <w:numId w:val="8"/>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泸县人力资源和社会保障局公务员编制28名；在职公务员人员23人，退休人员</w:t>
      </w:r>
      <w:r>
        <w:rPr>
          <w:rFonts w:hint="eastAsia" w:ascii="仿宋_GB2312" w:hAnsi="仿宋" w:eastAsia="仿宋_GB2312"/>
          <w:sz w:val="32"/>
          <w:szCs w:val="32"/>
          <w:lang w:val="en-US" w:eastAsia="zh-CN"/>
        </w:rPr>
        <w:t>19</w:t>
      </w:r>
      <w:r>
        <w:rPr>
          <w:rFonts w:hint="eastAsia" w:ascii="仿宋_GB2312" w:hAnsi="仿宋" w:eastAsia="仿宋_GB2312"/>
          <w:sz w:val="32"/>
          <w:szCs w:val="32"/>
        </w:rPr>
        <w:t>人；临聘人员1人。参公编制10人</w:t>
      </w:r>
      <w:r>
        <w:rPr>
          <w:rFonts w:ascii="仿宋_GB2312" w:hAnsi="仿宋" w:eastAsia="仿宋_GB2312"/>
          <w:sz w:val="32"/>
          <w:szCs w:val="32"/>
        </w:rPr>
        <w:t>，年末在编在职</w:t>
      </w:r>
      <w:r>
        <w:rPr>
          <w:rFonts w:hint="eastAsia" w:ascii="仿宋_GB2312" w:hAnsi="仿宋" w:eastAsia="仿宋_GB2312"/>
          <w:sz w:val="32"/>
          <w:szCs w:val="32"/>
        </w:rPr>
        <w:t>10人</w:t>
      </w:r>
      <w:r>
        <w:rPr>
          <w:rFonts w:ascii="仿宋_GB2312" w:hAnsi="仿宋" w:eastAsia="仿宋_GB2312"/>
          <w:sz w:val="32"/>
          <w:szCs w:val="32"/>
        </w:rPr>
        <w:t>，事业人员编制</w:t>
      </w:r>
      <w:r>
        <w:rPr>
          <w:rFonts w:hint="eastAsia" w:ascii="仿宋_GB2312" w:hAnsi="仿宋" w:eastAsia="仿宋_GB2312"/>
          <w:sz w:val="32"/>
          <w:szCs w:val="32"/>
        </w:rPr>
        <w:t>16人</w:t>
      </w:r>
      <w:r>
        <w:rPr>
          <w:rFonts w:ascii="仿宋_GB2312" w:hAnsi="仿宋" w:eastAsia="仿宋_GB2312"/>
          <w:sz w:val="32"/>
          <w:szCs w:val="32"/>
        </w:rPr>
        <w:t>，年末在编在职</w:t>
      </w:r>
      <w:r>
        <w:rPr>
          <w:rFonts w:hint="eastAsia" w:ascii="仿宋_GB2312" w:hAnsi="仿宋" w:eastAsia="仿宋_GB2312"/>
          <w:sz w:val="32"/>
          <w:szCs w:val="32"/>
        </w:rPr>
        <w:t>15人。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lang w:val="zh-CN"/>
        </w:rPr>
      </w:pPr>
      <w:r>
        <w:rPr>
          <w:rFonts w:hint="eastAsia" w:ascii="仿宋_GB2312" w:hAnsi="仿宋" w:eastAsia="仿宋_GB2312"/>
          <w:sz w:val="32"/>
          <w:szCs w:val="32"/>
          <w:lang w:val="en-US" w:eastAsia="zh-CN"/>
        </w:rPr>
        <w:t>2020</w:t>
      </w:r>
      <w:r>
        <w:rPr>
          <w:rFonts w:hint="eastAsia" w:ascii="仿宋_GB2312" w:hAnsi="仿宋" w:eastAsia="仿宋_GB2312"/>
          <w:sz w:val="32"/>
          <w:szCs w:val="32"/>
        </w:rPr>
        <w:t>年本年收入合计</w:t>
      </w:r>
      <w:r>
        <w:rPr>
          <w:rFonts w:hint="eastAsia" w:ascii="仿宋_GB2312" w:hAnsi="仿宋" w:eastAsia="仿宋_GB2312"/>
          <w:sz w:val="32"/>
          <w:szCs w:val="32"/>
          <w:lang w:val="en-US" w:eastAsia="zh-CN"/>
        </w:rPr>
        <w:t>838.34</w:t>
      </w:r>
      <w:r>
        <w:rPr>
          <w:rFonts w:hint="eastAsia" w:ascii="仿宋_GB2312" w:hAnsi="仿宋" w:eastAsia="仿宋_GB2312"/>
          <w:sz w:val="32"/>
          <w:szCs w:val="32"/>
        </w:rPr>
        <w:t>万元，其中：一般公共预算财政拨款收入</w:t>
      </w:r>
      <w:r>
        <w:rPr>
          <w:rFonts w:hint="eastAsia" w:ascii="仿宋_GB2312" w:hAnsi="仿宋" w:eastAsia="仿宋_GB2312"/>
          <w:sz w:val="32"/>
          <w:szCs w:val="32"/>
          <w:lang w:val="en-US" w:eastAsia="zh-CN"/>
        </w:rPr>
        <w:t>838.34</w:t>
      </w:r>
      <w:r>
        <w:rPr>
          <w:rFonts w:hint="eastAsia" w:ascii="仿宋_GB2312" w:hAnsi="仿宋" w:eastAsia="仿宋_GB2312"/>
          <w:sz w:val="32"/>
          <w:szCs w:val="32"/>
        </w:rPr>
        <w:t>万元，占100</w:t>
      </w:r>
      <w:r>
        <w:rPr>
          <w:rFonts w:ascii="仿宋_GB2312" w:hAnsi="仿宋" w:eastAsia="仿宋_GB2312"/>
          <w:sz w:val="32"/>
          <w:szCs w:val="32"/>
        </w:rPr>
        <w:t>%</w:t>
      </w:r>
      <w:r>
        <w:rPr>
          <w:rFonts w:hint="eastAsia" w:ascii="仿宋_GB2312" w:hAnsi="仿宋" w:eastAsia="仿宋_GB2312"/>
          <w:sz w:val="32"/>
          <w:szCs w:val="32"/>
        </w:rPr>
        <w:t>；政府性基金预算财政拨款收入0万元，占0</w:t>
      </w:r>
      <w:r>
        <w:rPr>
          <w:rFonts w:ascii="仿宋_GB2312" w:hAnsi="仿宋" w:eastAsia="仿宋_GB2312"/>
          <w:sz w:val="32"/>
          <w:szCs w:val="32"/>
        </w:rPr>
        <w:t>%</w:t>
      </w:r>
      <w:r>
        <w:rPr>
          <w:rFonts w:hint="eastAsia" w:ascii="仿宋_GB2312" w:hAnsi="仿宋" w:eastAsia="仿宋_GB2312"/>
          <w:sz w:val="32"/>
          <w:szCs w:val="32"/>
        </w:rPr>
        <w:t>；上级补助收入0万元，占0</w:t>
      </w:r>
      <w:r>
        <w:rPr>
          <w:rFonts w:ascii="仿宋_GB2312" w:hAnsi="仿宋" w:eastAsia="仿宋_GB2312"/>
          <w:sz w:val="32"/>
          <w:szCs w:val="32"/>
        </w:rPr>
        <w:t>%</w:t>
      </w:r>
      <w:r>
        <w:rPr>
          <w:rFonts w:hint="eastAsia" w:ascii="仿宋_GB2312" w:hAnsi="仿宋" w:eastAsia="仿宋_GB2312"/>
          <w:sz w:val="32"/>
          <w:szCs w:val="32"/>
        </w:rPr>
        <w:t>；事业收入0万元，占0</w:t>
      </w:r>
      <w:r>
        <w:rPr>
          <w:rFonts w:ascii="仿宋_GB2312" w:hAnsi="仿宋" w:eastAsia="仿宋_GB2312"/>
          <w:sz w:val="32"/>
          <w:szCs w:val="32"/>
        </w:rPr>
        <w:t>%</w:t>
      </w:r>
      <w:r>
        <w:rPr>
          <w:rFonts w:hint="eastAsia" w:ascii="仿宋_GB2312" w:hAnsi="仿宋" w:eastAsia="仿宋_GB2312"/>
          <w:sz w:val="32"/>
          <w:szCs w:val="32"/>
        </w:rPr>
        <w:t>；经营收入0万元，占0</w:t>
      </w:r>
      <w:r>
        <w:rPr>
          <w:rFonts w:ascii="仿宋_GB2312" w:hAnsi="仿宋" w:eastAsia="仿宋_GB2312"/>
          <w:sz w:val="32"/>
          <w:szCs w:val="32"/>
        </w:rPr>
        <w:t>%</w:t>
      </w:r>
      <w:r>
        <w:rPr>
          <w:rFonts w:hint="eastAsia" w:ascii="仿宋_GB2312" w:hAnsi="仿宋" w:eastAsia="仿宋_GB2312"/>
          <w:sz w:val="32"/>
          <w:szCs w:val="32"/>
        </w:rPr>
        <w:t>；附属单位上缴收入0万元，占0</w:t>
      </w:r>
      <w:r>
        <w:rPr>
          <w:rFonts w:ascii="仿宋_GB2312" w:hAnsi="仿宋" w:eastAsia="仿宋_GB2312"/>
          <w:sz w:val="32"/>
          <w:szCs w:val="32"/>
        </w:rPr>
        <w:t>%</w:t>
      </w:r>
      <w:r>
        <w:rPr>
          <w:rFonts w:hint="eastAsia" w:ascii="仿宋_GB2312" w:hAnsi="仿宋" w:eastAsia="仿宋_GB2312"/>
          <w:sz w:val="32"/>
          <w:szCs w:val="32"/>
        </w:rPr>
        <w:t>；其他收入0万元，占0</w:t>
      </w:r>
      <w:r>
        <w:rPr>
          <w:rFonts w:ascii="仿宋_GB2312" w:hAnsi="仿宋" w:eastAsia="仿宋_GB2312"/>
          <w:sz w:val="32"/>
          <w:szCs w:val="32"/>
        </w:rPr>
        <w:t>%</w:t>
      </w:r>
      <w:r>
        <w:rPr>
          <w:rFonts w:hint="eastAsia" w:ascii="仿宋_GB2312" w:hAnsi="仿宋" w:eastAsia="仿宋_GB2312"/>
          <w:sz w:val="32"/>
          <w:szCs w:val="32"/>
        </w:rPr>
        <w:t>。</w:t>
      </w:r>
    </w:p>
    <w:p>
      <w:pPr>
        <w:widowControl/>
        <w:numPr>
          <w:ilvl w:val="0"/>
          <w:numId w:val="9"/>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2020</w:t>
      </w:r>
      <w:r>
        <w:rPr>
          <w:rFonts w:hint="eastAsia" w:ascii="仿宋_GB2312" w:hAnsi="仿宋" w:eastAsia="仿宋_GB2312"/>
          <w:sz w:val="32"/>
          <w:szCs w:val="32"/>
        </w:rPr>
        <w:t>年本年支出合计</w:t>
      </w:r>
      <w:r>
        <w:rPr>
          <w:rFonts w:hint="eastAsia" w:ascii="仿宋_GB2312" w:hAnsi="仿宋" w:eastAsia="仿宋_GB2312"/>
          <w:sz w:val="32"/>
          <w:szCs w:val="32"/>
          <w:lang w:val="en-US" w:eastAsia="zh-CN"/>
        </w:rPr>
        <w:t>1343.84</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972.12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72.34</w:t>
      </w:r>
      <w:r>
        <w:rPr>
          <w:rFonts w:ascii="仿宋_GB2312" w:hAnsi="仿宋" w:eastAsia="仿宋_GB2312"/>
          <w:sz w:val="32"/>
          <w:szCs w:val="32"/>
        </w:rPr>
        <w:t>%</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371.72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27.66</w:t>
      </w:r>
      <w:r>
        <w:rPr>
          <w:rFonts w:ascii="仿宋_GB2312" w:hAnsi="仿宋" w:eastAsia="仿宋_GB2312"/>
          <w:sz w:val="32"/>
          <w:szCs w:val="32"/>
        </w:rPr>
        <w:t>%</w:t>
      </w:r>
      <w:r>
        <w:rPr>
          <w:rFonts w:hint="eastAsia" w:ascii="仿宋_GB2312" w:hAnsi="仿宋" w:eastAsia="仿宋_GB2312"/>
          <w:sz w:val="32"/>
          <w:szCs w:val="32"/>
        </w:rPr>
        <w:t>；上缴上级支出0万元，占0</w:t>
      </w:r>
      <w:r>
        <w:rPr>
          <w:rFonts w:ascii="仿宋_GB2312" w:hAnsi="仿宋" w:eastAsia="仿宋_GB2312"/>
          <w:sz w:val="32"/>
          <w:szCs w:val="32"/>
        </w:rPr>
        <w:t>%</w:t>
      </w:r>
      <w:r>
        <w:rPr>
          <w:rFonts w:hint="eastAsia" w:ascii="仿宋_GB2312" w:hAnsi="仿宋" w:eastAsia="仿宋_GB2312"/>
          <w:sz w:val="32"/>
          <w:szCs w:val="32"/>
        </w:rPr>
        <w:t>；经营支出0万元，占0</w:t>
      </w:r>
      <w:r>
        <w:rPr>
          <w:rFonts w:ascii="仿宋_GB2312" w:hAnsi="仿宋" w:eastAsia="仿宋_GB2312"/>
          <w:sz w:val="32"/>
          <w:szCs w:val="32"/>
        </w:rPr>
        <w:t>%</w:t>
      </w:r>
      <w:r>
        <w:rPr>
          <w:rFonts w:hint="eastAsia" w:ascii="仿宋_GB2312" w:hAnsi="仿宋" w:eastAsia="仿宋_GB2312"/>
          <w:sz w:val="32"/>
          <w:szCs w:val="32"/>
        </w:rPr>
        <w:t>；对附属单位补助支出0万元，占0</w:t>
      </w:r>
      <w:r>
        <w:rPr>
          <w:rFonts w:ascii="仿宋_GB2312" w:hAnsi="仿宋" w:eastAsia="仿宋_GB2312"/>
          <w:sz w:val="32"/>
          <w:szCs w:val="32"/>
        </w:rPr>
        <w:t>%</w:t>
      </w:r>
      <w:r>
        <w:rPr>
          <w:rFonts w:hint="eastAsia" w:ascii="仿宋_GB2312" w:hAnsi="仿宋" w:eastAsia="仿宋_GB2312"/>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numPr>
          <w:ilvl w:val="0"/>
          <w:numId w:val="0"/>
        </w:numPr>
        <w:adjustRightInd w:val="0"/>
        <w:snapToGrid w:val="0"/>
        <w:spacing w:line="580" w:lineRule="exact"/>
        <w:ind w:firstLine="640" w:firstLineChars="200"/>
        <w:contextualSpacing/>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为加强财政支出管理，强化预算支出责任，提高财政资金使用效益，根据《中华人民共和国预算法》、《财政支出绩效评价管理暂行办法》(财预〔2011〕285号)等法律法规和制度规定，结合本单位实际，制定部门预算绩效管理办法。</w:t>
      </w:r>
    </w:p>
    <w:p>
      <w:pPr>
        <w:widowControl/>
        <w:numPr>
          <w:ilvl w:val="0"/>
          <w:numId w:val="0"/>
        </w:numPr>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预算绩效管理是指为优化财政资源配置和提升公共服务水平，运用绩效理念和方法，将绩效目标编制、运行跟踪、绩效评价、结果应用等融入预算编制、执行、监督全过程，实现“预算编制有目标，预算执行有监控，预算完成有评价，评价结果有反馈，反馈结果有应用”的预算管理模式。</w:t>
      </w:r>
    </w:p>
    <w:p>
      <w:pPr>
        <w:widowControl/>
        <w:numPr>
          <w:ilvl w:val="0"/>
          <w:numId w:val="0"/>
        </w:numPr>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适用资金范围包括纳入公共财政预算、政府性基金预算、国有资本经营预算、社会保障基金预算和政府性投资计划管理的所有政府性资金。</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将对本单位整体支出绩效目标评价结果在单位范围内进行实时公开，对反馈结果有效整改，强化资金管理水平、增强资金绩效理念、合理配置公共资源、提高资金使用效益，并将本年绩效目标评价结果作为以后年度资金分配的重要依据。</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（一）评价结论。按照绩效目标完成情况的各项指标，逐一进行比对和核实，通过科学合理的评价，从而对整个单位预算管理绩效进行综合评估。</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（二）存在问题。预算控制有待进一步加强，部门整体支出绩效评价目标编制不完善。绩效管理技术力量和工作人员的基础理论知识薄弱，对相关业务知识掌握不够，支出绩效评价过于单一。</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三）改进建议。科学合理编制适合单位自身工作实际的预算管理绩效制度，不断增强工作人员的预算绩效管理理念，逐步强化应用绩效评价结果。要从评价结果出发，就评价过程中存在的主要问题，提出相应的改进建议及措施，从而更好的指导今后的工作。</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0"/>
          <w:szCs w:val="40"/>
          <w:lang w:val="zh-CN"/>
        </w:rPr>
      </w:pPr>
      <w:r>
        <w:rPr>
          <w:rFonts w:hint="eastAsia" w:ascii="方正小标宋简体" w:hAnsi="宋体" w:eastAsia="方正小标宋简体"/>
          <w:color w:val="000000"/>
          <w:kern w:val="0"/>
          <w:sz w:val="40"/>
          <w:szCs w:val="40"/>
          <w:lang w:val="zh-CN"/>
        </w:rPr>
        <w:t>三支一扶工作经费项目</w:t>
      </w:r>
      <w:r>
        <w:rPr>
          <w:rFonts w:hint="eastAsia" w:ascii="方正小标宋简体" w:hAnsi="宋体" w:eastAsia="方正小标宋简体"/>
          <w:color w:val="000000"/>
          <w:kern w:val="0"/>
          <w:sz w:val="40"/>
          <w:szCs w:val="40"/>
          <w:lang w:val="en-US" w:eastAsia="zh-CN"/>
        </w:rPr>
        <w:t>2020</w:t>
      </w:r>
      <w:r>
        <w:rPr>
          <w:rFonts w:hint="eastAsia" w:ascii="方正小标宋简体" w:hAnsi="宋体" w:eastAsia="方正小标宋简体"/>
          <w:color w:val="000000"/>
          <w:kern w:val="0"/>
          <w:sz w:val="40"/>
          <w:szCs w:val="40"/>
        </w:rPr>
        <w:t>年</w:t>
      </w:r>
      <w:r>
        <w:rPr>
          <w:rFonts w:hint="eastAsia" w:ascii="方正小标宋简体" w:hAnsi="宋体" w:eastAsia="方正小标宋简体"/>
          <w:color w:val="000000"/>
          <w:kern w:val="0"/>
          <w:sz w:val="40"/>
          <w:szCs w:val="40"/>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1．项目主管部门泸县人力资源和社会保障局在该项目管理中负责“三支一扶”人员的招募、考核引进工作的开展，扩展我县人才队伍，让更多人的人才能够到基层服务。</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zh-CN"/>
        </w:rPr>
        <w:t>2．项目立项、资金申报的依据：川财社（</w:t>
      </w:r>
      <w:r>
        <w:rPr>
          <w:rFonts w:hint="eastAsia" w:ascii="仿宋_GB2312" w:hAnsi="宋体" w:eastAsia="仿宋_GB2312"/>
          <w:sz w:val="32"/>
          <w:szCs w:val="32"/>
          <w:lang w:val="en-US" w:eastAsia="zh-CN"/>
        </w:rPr>
        <w:t>2011</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202号文件；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1．项目主要内容：通过“三支一扶”人员的招募、考核引进为事业单位人员工作的开展，扩展我县人才队伍，让更多人的人才能够到基层服务。</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2．项目应实现的具体绩效目标在</w:t>
      </w:r>
      <w:r>
        <w:rPr>
          <w:rFonts w:hint="eastAsia" w:ascii="仿宋_GB2312" w:hAnsi="宋体" w:eastAsia="仿宋_GB2312"/>
          <w:sz w:val="32"/>
          <w:szCs w:val="32"/>
          <w:lang w:val="en-US" w:eastAsia="zh-CN"/>
        </w:rPr>
        <w:t>2020年12月31日前完成，</w:t>
      </w:r>
      <w:r>
        <w:rPr>
          <w:rFonts w:hint="eastAsia" w:ascii="仿宋_GB2312" w:hAnsi="宋体" w:eastAsia="仿宋_GB2312"/>
          <w:sz w:val="32"/>
          <w:szCs w:val="32"/>
          <w:lang w:val="zh-CN"/>
        </w:rPr>
        <w:t>通过“三支一扶”人员的招募、考核引进为事业单位人员工作的开展，扩展我县人才队伍，让更多人的人才能够到基层服务，扩大基层服务队伍的力量。</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通过经办业务股室自评项目实施情况自评打分，由局机关领导打分对该项目实施自评情况得分，最后交由行政办公室汇总打分情况；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项目资金由</w:t>
      </w:r>
      <w:r>
        <w:rPr>
          <w:rFonts w:hint="eastAsia" w:ascii="仿宋_GB2312" w:hAnsi="宋体" w:eastAsia="仿宋_GB2312"/>
          <w:sz w:val="32"/>
          <w:szCs w:val="32"/>
          <w:lang w:val="en-US" w:eastAsia="zh-CN"/>
        </w:rPr>
        <w:t>2020</w:t>
      </w:r>
      <w:r>
        <w:rPr>
          <w:rFonts w:hint="eastAsia" w:ascii="仿宋_GB2312" w:hAnsi="宋体" w:eastAsia="仿宋_GB2312"/>
          <w:sz w:val="32"/>
          <w:szCs w:val="32"/>
          <w:lang w:val="zh-CN"/>
        </w:rPr>
        <w:t>年初预算的方式向泸县财政局申报，根据泸县财政局年初预算批复后资金到位。</w:t>
      </w:r>
    </w:p>
    <w:p>
      <w:pPr>
        <w:numPr>
          <w:ilvl w:val="0"/>
          <w:numId w:val="9"/>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资金计划、到位及使用情况</w:t>
      </w:r>
    </w:p>
    <w:p>
      <w:pPr>
        <w:numPr>
          <w:ilvl w:val="0"/>
          <w:numId w:val="0"/>
        </w:numPr>
        <w:adjustRightInd w:val="0"/>
        <w:snapToGrid w:val="0"/>
        <w:spacing w:line="600" w:lineRule="exact"/>
        <w:ind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县财政资金，纳入部门年初预算。</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楷体_GB2312" w:hAnsi="宋体" w:eastAsia="楷体_GB2312"/>
          <w:sz w:val="32"/>
          <w:szCs w:val="32"/>
          <w:lang w:val="zh-CN"/>
        </w:rPr>
        <w:t>2．资金到位。县</w:t>
      </w:r>
      <w:r>
        <w:rPr>
          <w:rFonts w:hint="eastAsia" w:ascii="仿宋_GB2312" w:hAnsi="宋体" w:eastAsia="仿宋_GB2312"/>
          <w:sz w:val="32"/>
          <w:szCs w:val="32"/>
          <w:lang w:val="zh-CN"/>
        </w:rPr>
        <w:t>财政资金到位率</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，及时性</w:t>
      </w:r>
      <w:r>
        <w:rPr>
          <w:rFonts w:hint="eastAsia" w:ascii="仿宋_GB2312" w:hAnsi="宋体" w:eastAsia="仿宋_GB2312"/>
          <w:sz w:val="32"/>
          <w:szCs w:val="32"/>
          <w:lang w:val="en-US" w:eastAsia="zh-CN"/>
        </w:rPr>
        <w:t>100%。</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资金使用具有安全性、规范性及有效性，包括资金支付范围“三支一扶”人员日常管理、考核、培训等、新招募人员及“三支一扶”人员考核引进为事业单位人员考务经费等；支付标准按照相关文件精神支付；支付进度按照招聘进度支付；支付依据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项目实施单位财务管理制度健全，严格执行财务管理制度，账务处理及时，会计核算规范。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三支一扶工作经费</w:t>
            </w:r>
            <w:r>
              <w:rPr>
                <w:rFonts w:hint="eastAsia" w:ascii="宋体" w:hAnsi="宋体" w:cs="宋体"/>
                <w:color w:val="000000"/>
                <w:kern w:val="0"/>
                <w:sz w:val="24"/>
                <w:lang w:eastAsia="zh-CN"/>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“三支一扶”人员日常管理、考核、培训等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≥4000元，按实结算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0.5万</w:t>
            </w:r>
            <w:r>
              <w:rPr>
                <w:rFonts w:hint="eastAsia" w:ascii="宋体" w:hAnsi="宋体" w:cs="宋体"/>
                <w:color w:val="00000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新招募人员及“三支一扶”人员考核引进为事业单位人员考务经费等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adjustRightInd w:val="0"/>
        <w:snapToGrid w:val="0"/>
        <w:spacing w:line="600" w:lineRule="exact"/>
        <w:ind w:firstLine="720"/>
        <w:rPr>
          <w:rFonts w:hint="eastAsia" w:ascii="黑体" w:hAnsi="宋体" w:eastAsia="黑体"/>
          <w:sz w:val="32"/>
          <w:szCs w:val="32"/>
        </w:rPr>
      </w:pP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按照绩效目标完成情况的各项指标，逐一进行比对和核实，通过科学合理的评价，从而对整个单位预算管理绩效进行综合评估。</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lang w:val="zh-CN"/>
        </w:rPr>
      </w:pPr>
      <w:r>
        <w:rPr>
          <w:rFonts w:hint="eastAsia" w:ascii="仿宋_GB2312" w:hAnsi="仿宋" w:eastAsia="仿宋_GB2312"/>
          <w:sz w:val="32"/>
          <w:szCs w:val="32"/>
        </w:rPr>
        <w:t>预算控制有待进一步加强，部门整体支出绩效评价目标编制不完善。绩效管理技术力量和工作人员的基础理论知识薄弱，对相关业务知识掌握不够，支出绩效评价过于单一。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科学合理编制适合单位自身工作实际的预算管理绩效制度，不断增强工作人员的预算绩效管理理念，逐步强化应用绩效评价结果。要从评价结果出发，就评价过程中存在的主要问题，提出相应的改进建议及措施，从而更好的指导今后的工作。</w:t>
      </w: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Fonts w:ascii="仿宋" w:hAnsi="仿宋" w:eastAsia="仿宋"/>
          <w:b/>
          <w:color w:val="000000"/>
          <w:sz w:val="44"/>
          <w:szCs w:val="44"/>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59"/>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0" w:name="_Toc15396619"/>
      <w:r>
        <w:rPr>
          <w:rFonts w:hint="eastAsia" w:ascii="仿宋" w:hAnsi="仿宋" w:eastAsia="仿宋"/>
          <w:b w:val="0"/>
          <w:color w:val="000000"/>
        </w:rPr>
        <w:t>一、收入支出决算总表</w:t>
      </w:r>
      <w:bookmarkEnd w:id="60"/>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1" w:name="_Toc15396620"/>
      <w:r>
        <w:rPr>
          <w:rFonts w:hint="eastAsia" w:ascii="仿宋" w:hAnsi="仿宋" w:eastAsia="仿宋"/>
          <w:b w:val="0"/>
          <w:color w:val="000000"/>
        </w:rPr>
        <w:t>二、收入决算表</w:t>
      </w:r>
      <w:bookmarkEnd w:id="61"/>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2" w:name="_Toc15396621"/>
      <w:r>
        <w:rPr>
          <w:rFonts w:hint="eastAsia" w:ascii="仿宋" w:hAnsi="仿宋" w:eastAsia="仿宋"/>
          <w:b w:val="0"/>
          <w:color w:val="000000"/>
        </w:rPr>
        <w:t>三、支出决算表</w:t>
      </w:r>
      <w:bookmarkEnd w:id="62"/>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3" w:name="_Toc15396622"/>
      <w:r>
        <w:rPr>
          <w:rFonts w:hint="eastAsia" w:ascii="仿宋" w:hAnsi="仿宋" w:eastAsia="仿宋"/>
          <w:b w:val="0"/>
          <w:color w:val="000000"/>
        </w:rPr>
        <w:t>四、财政拨款收入支出决算总表</w:t>
      </w:r>
      <w:bookmarkEnd w:id="63"/>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4" w:name="_Toc15396623"/>
      <w:r>
        <w:rPr>
          <w:rFonts w:hint="eastAsia" w:ascii="仿宋" w:hAnsi="仿宋" w:eastAsia="仿宋"/>
          <w:b w:val="0"/>
          <w:color w:val="000000"/>
        </w:rPr>
        <w:t>五、财政拨款支出决算明细表</w:t>
      </w:r>
      <w:bookmarkEnd w:id="64"/>
      <w:bookmarkStart w:id="65" w:name="_Toc15396624"/>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r>
        <w:rPr>
          <w:rFonts w:hint="eastAsia" w:ascii="仿宋" w:hAnsi="仿宋" w:eastAsia="仿宋"/>
          <w:b w:val="0"/>
          <w:color w:val="000000"/>
        </w:rPr>
        <w:t>六、一般公共预算财政拨款支出决算表</w:t>
      </w:r>
      <w:bookmarkEnd w:id="65"/>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6" w:name="_Toc15396625"/>
      <w:r>
        <w:rPr>
          <w:rFonts w:hint="eastAsia" w:ascii="仿宋" w:hAnsi="仿宋" w:eastAsia="仿宋"/>
          <w:b w:val="0"/>
          <w:color w:val="000000"/>
        </w:rPr>
        <w:t>七、一般公共预算财政拨款支出决算明细表</w:t>
      </w:r>
      <w:bookmarkEnd w:id="66"/>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7" w:name="_Toc15396626"/>
      <w:r>
        <w:rPr>
          <w:rFonts w:hint="eastAsia" w:ascii="仿宋" w:hAnsi="仿宋" w:eastAsia="仿宋"/>
          <w:b w:val="0"/>
          <w:color w:val="000000"/>
        </w:rPr>
        <w:t>八、一般公共预算财政拨款基本支出决算表</w:t>
      </w:r>
      <w:bookmarkEnd w:id="67"/>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8" w:name="_Toc15396627"/>
      <w:r>
        <w:rPr>
          <w:rFonts w:hint="eastAsia" w:ascii="仿宋" w:hAnsi="仿宋" w:eastAsia="仿宋"/>
          <w:b w:val="0"/>
          <w:color w:val="000000"/>
        </w:rPr>
        <w:t>九、一般公共预算财政拨款项目支出决算表</w:t>
      </w:r>
      <w:bookmarkEnd w:id="68"/>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69" w:name="_Toc15396628"/>
      <w:r>
        <w:rPr>
          <w:rFonts w:hint="eastAsia" w:ascii="仿宋" w:hAnsi="仿宋" w:eastAsia="仿宋"/>
          <w:b w:val="0"/>
          <w:color w:val="000000"/>
        </w:rPr>
        <w:t>十、一般公共预算财政拨款“三公”经费支出决算表</w:t>
      </w:r>
      <w:bookmarkEnd w:id="69"/>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70" w:name="_Toc15396629"/>
      <w:r>
        <w:rPr>
          <w:rFonts w:hint="eastAsia" w:ascii="仿宋" w:hAnsi="仿宋" w:eastAsia="仿宋"/>
          <w:b w:val="0"/>
          <w:color w:val="000000"/>
        </w:rPr>
        <w:t>十一、政府性基金预算财政拨款收入支出决算表</w:t>
      </w:r>
      <w:bookmarkEnd w:id="70"/>
    </w:p>
    <w:p>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b w:val="0"/>
          <w:color w:val="000000"/>
        </w:rPr>
      </w:pPr>
      <w:bookmarkStart w:id="71" w:name="_Toc15396630"/>
      <w:r>
        <w:rPr>
          <w:rFonts w:hint="eastAsia" w:ascii="仿宋" w:hAnsi="仿宋" w:eastAsia="仿宋"/>
          <w:b w:val="0"/>
          <w:color w:val="000000"/>
        </w:rPr>
        <w:t>十二、政府性基金预算财政拨款“三公”经费支出决算表</w:t>
      </w:r>
      <w:bookmarkEnd w:id="71"/>
    </w:p>
    <w:p>
      <w:pPr>
        <w:pStyle w:val="11"/>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theme="majorBidi"/>
          <w:b w:val="0"/>
          <w:bCs/>
          <w:color w:val="000000"/>
          <w:kern w:val="2"/>
          <w:sz w:val="32"/>
          <w:szCs w:val="32"/>
          <w:lang w:val="en-US" w:eastAsia="zh-CN" w:bidi="ar-SA"/>
        </w:rPr>
      </w:pPr>
      <w:bookmarkStart w:id="72" w:name="_Toc15396631"/>
      <w:r>
        <w:rPr>
          <w:rFonts w:hint="eastAsia" w:ascii="仿宋" w:hAnsi="仿宋" w:eastAsia="仿宋" w:cstheme="majorBidi"/>
          <w:b w:val="0"/>
          <w:bCs/>
          <w:color w:val="000000"/>
          <w:kern w:val="2"/>
          <w:sz w:val="32"/>
          <w:szCs w:val="32"/>
          <w:lang w:val="en-US" w:eastAsia="zh-CN" w:bidi="ar-SA"/>
        </w:rPr>
        <w:t>十三、</w:t>
      </w:r>
      <w:bookmarkEnd w:id="72"/>
      <w:r>
        <w:rPr>
          <w:rFonts w:hint="eastAsia" w:ascii="仿宋" w:hAnsi="仿宋" w:eastAsia="仿宋" w:cstheme="majorBidi"/>
          <w:b w:val="0"/>
          <w:bCs/>
          <w:color w:val="000000"/>
          <w:kern w:val="2"/>
          <w:sz w:val="32"/>
          <w:szCs w:val="32"/>
          <w:lang w:val="en-US" w:eastAsia="zh-CN" w:bidi="ar-SA"/>
        </w:rPr>
        <w:t>国有资本经营预算财政拨款收入支出决算表</w:t>
      </w:r>
    </w:p>
    <w:p>
      <w:pPr>
        <w:rPr>
          <w:rFonts w:hint="eastAsia"/>
          <w:lang w:val="en-US" w:eastAsia="zh-CN"/>
        </w:rPr>
      </w:pPr>
    </w:p>
    <w:p>
      <w:pPr>
        <w:pStyle w:val="11"/>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十四、国有资本经营预算财政拨款支出决算表</w:t>
      </w:r>
    </w:p>
    <w:p>
      <w:pPr>
        <w:pStyle w:val="3"/>
        <w:rPr>
          <w:rFonts w:hint="eastAsia" w:ascii="仿宋" w:hAnsi="仿宋" w:eastAsia="仿宋"/>
          <w:b w:val="0"/>
          <w:color w:val="000000"/>
        </w:rPr>
      </w:pPr>
      <w:bookmarkStart w:id="73" w:name="_GoBack"/>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0CEA4E2"/>
    <w:multiLevelType w:val="singleLevel"/>
    <w:tmpl w:val="D0CEA4E2"/>
    <w:lvl w:ilvl="0" w:tentative="0">
      <w:start w:val="1"/>
      <w:numFmt w:val="decimal"/>
      <w:lvlText w:val="%1."/>
      <w:lvlJc w:val="left"/>
      <w:pPr>
        <w:tabs>
          <w:tab w:val="left" w:pos="312"/>
        </w:tabs>
      </w:pPr>
    </w:lvl>
  </w:abstractNum>
  <w:abstractNum w:abstractNumId="2">
    <w:nsid w:val="DBB05F10"/>
    <w:multiLevelType w:val="singleLevel"/>
    <w:tmpl w:val="DBB05F10"/>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83526C7"/>
    <w:multiLevelType w:val="singleLevel"/>
    <w:tmpl w:val="283526C7"/>
    <w:lvl w:ilvl="0" w:tentative="0">
      <w:start w:val="1"/>
      <w:numFmt w:val="decimal"/>
      <w:suff w:val="nothing"/>
      <w:lvlText w:val="（%1）"/>
      <w:lvlJc w:val="left"/>
    </w:lvl>
  </w:abstractNum>
  <w:abstractNum w:abstractNumId="6">
    <w:nsid w:val="593B264A"/>
    <w:multiLevelType w:val="singleLevel"/>
    <w:tmpl w:val="593B264A"/>
    <w:lvl w:ilvl="0" w:tentative="0">
      <w:start w:val="1"/>
      <w:numFmt w:val="decimal"/>
      <w:lvlText w:val="%1."/>
      <w:lvlJc w:val="left"/>
      <w:pPr>
        <w:tabs>
          <w:tab w:val="left" w:pos="312"/>
        </w:tabs>
      </w:pPr>
    </w:lvl>
  </w:abstractNum>
  <w:abstractNum w:abstractNumId="7">
    <w:nsid w:val="6133F947"/>
    <w:multiLevelType w:val="singleLevel"/>
    <w:tmpl w:val="6133F947"/>
    <w:lvl w:ilvl="0" w:tentative="0">
      <w:start w:val="2"/>
      <w:numFmt w:val="chineseCounting"/>
      <w:suff w:val="nothing"/>
      <w:lvlText w:val="（%1）"/>
      <w:lvlJc w:val="left"/>
      <w:rPr>
        <w:rFonts w:hint="eastAsia"/>
      </w:rPr>
    </w:lvl>
  </w:abstractNum>
  <w:abstractNum w:abstractNumId="8">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8"/>
  </w:num>
  <w:num w:numId="2">
    <w:abstractNumId w:val="4"/>
  </w:num>
  <w:num w:numId="3">
    <w:abstractNumId w:val="1"/>
  </w:num>
  <w:num w:numId="4">
    <w:abstractNumId w:val="0"/>
  </w:num>
  <w:num w:numId="5">
    <w:abstractNumId w:val="6"/>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1644F"/>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07A95"/>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3B7D"/>
    <w:rsid w:val="004B4690"/>
    <w:rsid w:val="004E0A2D"/>
    <w:rsid w:val="004E206B"/>
    <w:rsid w:val="004E6DF7"/>
    <w:rsid w:val="004F0FBD"/>
    <w:rsid w:val="004F403E"/>
    <w:rsid w:val="00505A47"/>
    <w:rsid w:val="00512FDA"/>
    <w:rsid w:val="00520DA0"/>
    <w:rsid w:val="005664BB"/>
    <w:rsid w:val="00566FFA"/>
    <w:rsid w:val="0057298E"/>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027"/>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B546F"/>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521"/>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44682"/>
    <w:rsid w:val="00C44C39"/>
    <w:rsid w:val="00C533CC"/>
    <w:rsid w:val="00C5751C"/>
    <w:rsid w:val="00C61BFC"/>
    <w:rsid w:val="00C62B85"/>
    <w:rsid w:val="00C65438"/>
    <w:rsid w:val="00C72B2A"/>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4D6"/>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2F76"/>
    <w:rsid w:val="00E568DF"/>
    <w:rsid w:val="00E64269"/>
    <w:rsid w:val="00E66797"/>
    <w:rsid w:val="00E82267"/>
    <w:rsid w:val="00E853CE"/>
    <w:rsid w:val="00E867B6"/>
    <w:rsid w:val="00E87F08"/>
    <w:rsid w:val="00EA010F"/>
    <w:rsid w:val="00EC0B9D"/>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46D15"/>
    <w:rsid w:val="00F602DF"/>
    <w:rsid w:val="00F754A1"/>
    <w:rsid w:val="00F81FD9"/>
    <w:rsid w:val="00F841AA"/>
    <w:rsid w:val="00F84A94"/>
    <w:rsid w:val="00F87E96"/>
    <w:rsid w:val="00FA23E8"/>
    <w:rsid w:val="00FD0DA0"/>
    <w:rsid w:val="00FD3CC1"/>
    <w:rsid w:val="00FF1E02"/>
    <w:rsid w:val="00FF30B4"/>
    <w:rsid w:val="01514167"/>
    <w:rsid w:val="02186A33"/>
    <w:rsid w:val="024B505A"/>
    <w:rsid w:val="02663C42"/>
    <w:rsid w:val="02A14C7A"/>
    <w:rsid w:val="02B06FC6"/>
    <w:rsid w:val="02CF7A3A"/>
    <w:rsid w:val="031A67DB"/>
    <w:rsid w:val="0332621A"/>
    <w:rsid w:val="034372FD"/>
    <w:rsid w:val="034F3B31"/>
    <w:rsid w:val="03942A31"/>
    <w:rsid w:val="03EF1A15"/>
    <w:rsid w:val="040A2CF3"/>
    <w:rsid w:val="045F573F"/>
    <w:rsid w:val="046B5540"/>
    <w:rsid w:val="0495504A"/>
    <w:rsid w:val="05080FE1"/>
    <w:rsid w:val="05110029"/>
    <w:rsid w:val="053F077B"/>
    <w:rsid w:val="05687CD1"/>
    <w:rsid w:val="056C4D1A"/>
    <w:rsid w:val="057C19CF"/>
    <w:rsid w:val="05BE4AAA"/>
    <w:rsid w:val="05C018BB"/>
    <w:rsid w:val="05CD3FD8"/>
    <w:rsid w:val="0680104B"/>
    <w:rsid w:val="06D03D80"/>
    <w:rsid w:val="06D82C35"/>
    <w:rsid w:val="06E15F8D"/>
    <w:rsid w:val="06F70C4D"/>
    <w:rsid w:val="06FC4B75"/>
    <w:rsid w:val="07282A7E"/>
    <w:rsid w:val="072B545A"/>
    <w:rsid w:val="0781151E"/>
    <w:rsid w:val="078E1545"/>
    <w:rsid w:val="07A70F85"/>
    <w:rsid w:val="07CD206E"/>
    <w:rsid w:val="07E06245"/>
    <w:rsid w:val="08624EAC"/>
    <w:rsid w:val="0865499C"/>
    <w:rsid w:val="087B5F6E"/>
    <w:rsid w:val="08D062B9"/>
    <w:rsid w:val="08E46202"/>
    <w:rsid w:val="090B72F2"/>
    <w:rsid w:val="0926412B"/>
    <w:rsid w:val="092C2DB3"/>
    <w:rsid w:val="09440A55"/>
    <w:rsid w:val="098B3F8E"/>
    <w:rsid w:val="0A12413E"/>
    <w:rsid w:val="0A2166A1"/>
    <w:rsid w:val="0A2543E3"/>
    <w:rsid w:val="0A544CC8"/>
    <w:rsid w:val="0A6950E4"/>
    <w:rsid w:val="0A8C7FBE"/>
    <w:rsid w:val="0A8F3F52"/>
    <w:rsid w:val="0AB87005"/>
    <w:rsid w:val="0AFD5BF3"/>
    <w:rsid w:val="0AFF2E86"/>
    <w:rsid w:val="0B111A53"/>
    <w:rsid w:val="0B2558B3"/>
    <w:rsid w:val="0B49387B"/>
    <w:rsid w:val="0B8B296C"/>
    <w:rsid w:val="0BD55995"/>
    <w:rsid w:val="0BD661DE"/>
    <w:rsid w:val="0C061FF2"/>
    <w:rsid w:val="0C1664ED"/>
    <w:rsid w:val="0C3E79DE"/>
    <w:rsid w:val="0C790A16"/>
    <w:rsid w:val="0C8C24F7"/>
    <w:rsid w:val="0D0F4ED6"/>
    <w:rsid w:val="0D224C0A"/>
    <w:rsid w:val="0D9378B6"/>
    <w:rsid w:val="0DB05A5A"/>
    <w:rsid w:val="0DC161D1"/>
    <w:rsid w:val="0E1E3623"/>
    <w:rsid w:val="0E76520D"/>
    <w:rsid w:val="0E871D20"/>
    <w:rsid w:val="0E912047"/>
    <w:rsid w:val="0E990EFC"/>
    <w:rsid w:val="0EDB1514"/>
    <w:rsid w:val="0F1A64E0"/>
    <w:rsid w:val="0F476BAA"/>
    <w:rsid w:val="0F481196"/>
    <w:rsid w:val="0F5079EB"/>
    <w:rsid w:val="0F87344A"/>
    <w:rsid w:val="0F8B118C"/>
    <w:rsid w:val="0FBF0E36"/>
    <w:rsid w:val="0FC621C4"/>
    <w:rsid w:val="0FE16FFE"/>
    <w:rsid w:val="1010343F"/>
    <w:rsid w:val="101324DE"/>
    <w:rsid w:val="1045133B"/>
    <w:rsid w:val="105A290D"/>
    <w:rsid w:val="107439CE"/>
    <w:rsid w:val="107F4121"/>
    <w:rsid w:val="10C055FF"/>
    <w:rsid w:val="10D111E1"/>
    <w:rsid w:val="10E87F18"/>
    <w:rsid w:val="112371A2"/>
    <w:rsid w:val="11511F61"/>
    <w:rsid w:val="11592BC4"/>
    <w:rsid w:val="11621A79"/>
    <w:rsid w:val="116577BB"/>
    <w:rsid w:val="11944137"/>
    <w:rsid w:val="11967974"/>
    <w:rsid w:val="11B00A36"/>
    <w:rsid w:val="11B322D4"/>
    <w:rsid w:val="11CB3AC2"/>
    <w:rsid w:val="11D0732A"/>
    <w:rsid w:val="11D32976"/>
    <w:rsid w:val="1292638E"/>
    <w:rsid w:val="12971BF6"/>
    <w:rsid w:val="129E2F84"/>
    <w:rsid w:val="12CD386A"/>
    <w:rsid w:val="12D81BA7"/>
    <w:rsid w:val="13166FBF"/>
    <w:rsid w:val="131D034D"/>
    <w:rsid w:val="132A4818"/>
    <w:rsid w:val="13453400"/>
    <w:rsid w:val="13525B1D"/>
    <w:rsid w:val="138C54D3"/>
    <w:rsid w:val="138E124B"/>
    <w:rsid w:val="13B14F39"/>
    <w:rsid w:val="13EB21F9"/>
    <w:rsid w:val="1441006B"/>
    <w:rsid w:val="14606E71"/>
    <w:rsid w:val="147A17CF"/>
    <w:rsid w:val="15042C64"/>
    <w:rsid w:val="1573694A"/>
    <w:rsid w:val="15B71A60"/>
    <w:rsid w:val="15D62A35"/>
    <w:rsid w:val="160F7CF5"/>
    <w:rsid w:val="164809DE"/>
    <w:rsid w:val="16556050"/>
    <w:rsid w:val="167F4E7B"/>
    <w:rsid w:val="16BB723D"/>
    <w:rsid w:val="16BE59A3"/>
    <w:rsid w:val="16D76A65"/>
    <w:rsid w:val="1740285C"/>
    <w:rsid w:val="17487963"/>
    <w:rsid w:val="1759391E"/>
    <w:rsid w:val="177469AA"/>
    <w:rsid w:val="17984446"/>
    <w:rsid w:val="17A10E21"/>
    <w:rsid w:val="17C3523B"/>
    <w:rsid w:val="17CF1E32"/>
    <w:rsid w:val="17FE299C"/>
    <w:rsid w:val="18094F0A"/>
    <w:rsid w:val="18101B13"/>
    <w:rsid w:val="181554C0"/>
    <w:rsid w:val="182932F0"/>
    <w:rsid w:val="18357EE7"/>
    <w:rsid w:val="18495740"/>
    <w:rsid w:val="18770500"/>
    <w:rsid w:val="1877367D"/>
    <w:rsid w:val="188E3A9B"/>
    <w:rsid w:val="18952734"/>
    <w:rsid w:val="18972950"/>
    <w:rsid w:val="18BE612E"/>
    <w:rsid w:val="18DA45EA"/>
    <w:rsid w:val="18E37FB2"/>
    <w:rsid w:val="190A3122"/>
    <w:rsid w:val="191F46F3"/>
    <w:rsid w:val="194B7296"/>
    <w:rsid w:val="198509FA"/>
    <w:rsid w:val="19891ACE"/>
    <w:rsid w:val="19946E8F"/>
    <w:rsid w:val="19BB441C"/>
    <w:rsid w:val="19F17E3E"/>
    <w:rsid w:val="19F3005A"/>
    <w:rsid w:val="1A147FD0"/>
    <w:rsid w:val="1A1B4EBB"/>
    <w:rsid w:val="1A271AB1"/>
    <w:rsid w:val="1A2E2D64"/>
    <w:rsid w:val="1A353CF1"/>
    <w:rsid w:val="1A501008"/>
    <w:rsid w:val="1A9F789A"/>
    <w:rsid w:val="1ABF5EDF"/>
    <w:rsid w:val="1AC93CCA"/>
    <w:rsid w:val="1AD25EC1"/>
    <w:rsid w:val="1AF71484"/>
    <w:rsid w:val="1B0F57C9"/>
    <w:rsid w:val="1B43291B"/>
    <w:rsid w:val="1B5C39DD"/>
    <w:rsid w:val="1B6A60FA"/>
    <w:rsid w:val="1BA23AE5"/>
    <w:rsid w:val="1BB260AE"/>
    <w:rsid w:val="1BBD091F"/>
    <w:rsid w:val="1C026332"/>
    <w:rsid w:val="1C1E6EE4"/>
    <w:rsid w:val="1C2269D4"/>
    <w:rsid w:val="1C2A3ADB"/>
    <w:rsid w:val="1C5E5533"/>
    <w:rsid w:val="1C7B60E4"/>
    <w:rsid w:val="1C9C6787"/>
    <w:rsid w:val="1CB52A27"/>
    <w:rsid w:val="1CD852E5"/>
    <w:rsid w:val="1CDF0421"/>
    <w:rsid w:val="1CFC5477"/>
    <w:rsid w:val="1D1502E7"/>
    <w:rsid w:val="1D293D92"/>
    <w:rsid w:val="1D3C5874"/>
    <w:rsid w:val="1D57445C"/>
    <w:rsid w:val="1D5E1C8E"/>
    <w:rsid w:val="1D6F5C49"/>
    <w:rsid w:val="1D822B1F"/>
    <w:rsid w:val="1D882867"/>
    <w:rsid w:val="1DC15D79"/>
    <w:rsid w:val="1E6F6708"/>
    <w:rsid w:val="1E7F4BDE"/>
    <w:rsid w:val="1E990AA4"/>
    <w:rsid w:val="1EA23DFC"/>
    <w:rsid w:val="1ECA6EAF"/>
    <w:rsid w:val="1EEE0DF0"/>
    <w:rsid w:val="1EF87EC0"/>
    <w:rsid w:val="1EFA3C38"/>
    <w:rsid w:val="1F212F73"/>
    <w:rsid w:val="1F38206B"/>
    <w:rsid w:val="1F410904"/>
    <w:rsid w:val="1F6F0182"/>
    <w:rsid w:val="1F9D0822"/>
    <w:rsid w:val="1FE0316E"/>
    <w:rsid w:val="1FE65F6B"/>
    <w:rsid w:val="1FEA7809"/>
    <w:rsid w:val="20271188"/>
    <w:rsid w:val="20322F5E"/>
    <w:rsid w:val="20476434"/>
    <w:rsid w:val="208A2A2E"/>
    <w:rsid w:val="20AA343C"/>
    <w:rsid w:val="20F63F8C"/>
    <w:rsid w:val="21701F90"/>
    <w:rsid w:val="21846597"/>
    <w:rsid w:val="21920158"/>
    <w:rsid w:val="21A97250"/>
    <w:rsid w:val="21CD2F3E"/>
    <w:rsid w:val="222C235B"/>
    <w:rsid w:val="223E208E"/>
    <w:rsid w:val="2245341D"/>
    <w:rsid w:val="2269649B"/>
    <w:rsid w:val="22883C87"/>
    <w:rsid w:val="22AA14D2"/>
    <w:rsid w:val="2305495A"/>
    <w:rsid w:val="239301B8"/>
    <w:rsid w:val="240371BF"/>
    <w:rsid w:val="24150BCD"/>
    <w:rsid w:val="24170DE9"/>
    <w:rsid w:val="245E07C6"/>
    <w:rsid w:val="245F009A"/>
    <w:rsid w:val="24857B00"/>
    <w:rsid w:val="24C04FDC"/>
    <w:rsid w:val="24C745BD"/>
    <w:rsid w:val="24D34D10"/>
    <w:rsid w:val="24FE5B05"/>
    <w:rsid w:val="250370B0"/>
    <w:rsid w:val="2504136D"/>
    <w:rsid w:val="252E63EA"/>
    <w:rsid w:val="25302162"/>
    <w:rsid w:val="257302A1"/>
    <w:rsid w:val="25733DFD"/>
    <w:rsid w:val="25B379FE"/>
    <w:rsid w:val="25D16D75"/>
    <w:rsid w:val="25E46AA9"/>
    <w:rsid w:val="25FA2770"/>
    <w:rsid w:val="25FA3AC3"/>
    <w:rsid w:val="25FC3DF2"/>
    <w:rsid w:val="26192BF6"/>
    <w:rsid w:val="262D66A1"/>
    <w:rsid w:val="262E5F76"/>
    <w:rsid w:val="26C16DEA"/>
    <w:rsid w:val="26CA2142"/>
    <w:rsid w:val="26FE003E"/>
    <w:rsid w:val="270F7B55"/>
    <w:rsid w:val="27142485"/>
    <w:rsid w:val="27233601"/>
    <w:rsid w:val="272E0923"/>
    <w:rsid w:val="275D1BDC"/>
    <w:rsid w:val="276E2ACE"/>
    <w:rsid w:val="27781B9E"/>
    <w:rsid w:val="277938A1"/>
    <w:rsid w:val="27802801"/>
    <w:rsid w:val="27932534"/>
    <w:rsid w:val="27E62FAC"/>
    <w:rsid w:val="281F75E5"/>
    <w:rsid w:val="28237D5C"/>
    <w:rsid w:val="28553C8E"/>
    <w:rsid w:val="2886653D"/>
    <w:rsid w:val="28A864B3"/>
    <w:rsid w:val="29083CB2"/>
    <w:rsid w:val="2919115F"/>
    <w:rsid w:val="29376A76"/>
    <w:rsid w:val="294302BA"/>
    <w:rsid w:val="294B3232"/>
    <w:rsid w:val="29891E41"/>
    <w:rsid w:val="298F1421"/>
    <w:rsid w:val="29A9603F"/>
    <w:rsid w:val="29B64C00"/>
    <w:rsid w:val="29FD04D3"/>
    <w:rsid w:val="2A1A0CEB"/>
    <w:rsid w:val="2A64465C"/>
    <w:rsid w:val="2A756869"/>
    <w:rsid w:val="2ABD5D29"/>
    <w:rsid w:val="2AD86ADA"/>
    <w:rsid w:val="2AEA2707"/>
    <w:rsid w:val="2AF86E82"/>
    <w:rsid w:val="2B2A31B0"/>
    <w:rsid w:val="2B345DDC"/>
    <w:rsid w:val="2B404781"/>
    <w:rsid w:val="2B473D61"/>
    <w:rsid w:val="2B4D6E9E"/>
    <w:rsid w:val="2B85488A"/>
    <w:rsid w:val="2BAA2542"/>
    <w:rsid w:val="2BBF5FEE"/>
    <w:rsid w:val="2BC929C8"/>
    <w:rsid w:val="2BF93EC4"/>
    <w:rsid w:val="2C136339"/>
    <w:rsid w:val="2C647AEF"/>
    <w:rsid w:val="2C6B7F24"/>
    <w:rsid w:val="2C6D5A4A"/>
    <w:rsid w:val="2C9C1E8B"/>
    <w:rsid w:val="2C9D5C03"/>
    <w:rsid w:val="2CD33CA9"/>
    <w:rsid w:val="2CEB4BC0"/>
    <w:rsid w:val="2CED0939"/>
    <w:rsid w:val="2CF75313"/>
    <w:rsid w:val="2D4744ED"/>
    <w:rsid w:val="2D7050C6"/>
    <w:rsid w:val="2DFB52D7"/>
    <w:rsid w:val="2E0D7D33"/>
    <w:rsid w:val="2E1F2D74"/>
    <w:rsid w:val="2E24038A"/>
    <w:rsid w:val="2E514EF7"/>
    <w:rsid w:val="2E9F3EB4"/>
    <w:rsid w:val="2EA96AE1"/>
    <w:rsid w:val="2EF20488"/>
    <w:rsid w:val="2EF22236"/>
    <w:rsid w:val="2F3C1703"/>
    <w:rsid w:val="2FA23C5C"/>
    <w:rsid w:val="2FAA2B11"/>
    <w:rsid w:val="2FC17E5A"/>
    <w:rsid w:val="30330D58"/>
    <w:rsid w:val="308275EA"/>
    <w:rsid w:val="309F019C"/>
    <w:rsid w:val="313A1C72"/>
    <w:rsid w:val="313B1FA9"/>
    <w:rsid w:val="318F0210"/>
    <w:rsid w:val="319F7F4E"/>
    <w:rsid w:val="31B74201"/>
    <w:rsid w:val="31F1143D"/>
    <w:rsid w:val="321626E0"/>
    <w:rsid w:val="32186458"/>
    <w:rsid w:val="324C4353"/>
    <w:rsid w:val="32A65EB3"/>
    <w:rsid w:val="32A970B0"/>
    <w:rsid w:val="32AB72CC"/>
    <w:rsid w:val="32E93950"/>
    <w:rsid w:val="33136C1F"/>
    <w:rsid w:val="332826CA"/>
    <w:rsid w:val="3335325B"/>
    <w:rsid w:val="334B460B"/>
    <w:rsid w:val="33D97E69"/>
    <w:rsid w:val="33FE78CF"/>
    <w:rsid w:val="34452E08"/>
    <w:rsid w:val="344A2B14"/>
    <w:rsid w:val="34563267"/>
    <w:rsid w:val="348E0C53"/>
    <w:rsid w:val="34A00986"/>
    <w:rsid w:val="34A83397"/>
    <w:rsid w:val="34AF1EA4"/>
    <w:rsid w:val="34C0740D"/>
    <w:rsid w:val="34E24AFB"/>
    <w:rsid w:val="352549E8"/>
    <w:rsid w:val="35527ED3"/>
    <w:rsid w:val="35613C72"/>
    <w:rsid w:val="35622B48"/>
    <w:rsid w:val="35675000"/>
    <w:rsid w:val="35736F46"/>
    <w:rsid w:val="35F72828"/>
    <w:rsid w:val="35FA7C22"/>
    <w:rsid w:val="35FC399A"/>
    <w:rsid w:val="3600792F"/>
    <w:rsid w:val="36015455"/>
    <w:rsid w:val="36523E8C"/>
    <w:rsid w:val="368045CB"/>
    <w:rsid w:val="36CE3589"/>
    <w:rsid w:val="36F31241"/>
    <w:rsid w:val="370E607B"/>
    <w:rsid w:val="371D1E1A"/>
    <w:rsid w:val="372F1B4E"/>
    <w:rsid w:val="37492C0F"/>
    <w:rsid w:val="37AD7642"/>
    <w:rsid w:val="37BC5AD7"/>
    <w:rsid w:val="37C2459B"/>
    <w:rsid w:val="37D56B99"/>
    <w:rsid w:val="382A2A41"/>
    <w:rsid w:val="38555055"/>
    <w:rsid w:val="38F117B0"/>
    <w:rsid w:val="39161217"/>
    <w:rsid w:val="39167469"/>
    <w:rsid w:val="3949339B"/>
    <w:rsid w:val="3951224F"/>
    <w:rsid w:val="39C3314D"/>
    <w:rsid w:val="39C80763"/>
    <w:rsid w:val="39E66E3B"/>
    <w:rsid w:val="39F257E0"/>
    <w:rsid w:val="3A2D4A6A"/>
    <w:rsid w:val="3A6375DF"/>
    <w:rsid w:val="3A971EE4"/>
    <w:rsid w:val="3AA52853"/>
    <w:rsid w:val="3AB605BC"/>
    <w:rsid w:val="3AC151B3"/>
    <w:rsid w:val="3AE570F3"/>
    <w:rsid w:val="3B272D75"/>
    <w:rsid w:val="3B295232"/>
    <w:rsid w:val="3B6E0E96"/>
    <w:rsid w:val="3B8A37F6"/>
    <w:rsid w:val="3BA149DC"/>
    <w:rsid w:val="3BA42B0A"/>
    <w:rsid w:val="3BDC6353"/>
    <w:rsid w:val="3C1852A6"/>
    <w:rsid w:val="3C771FCD"/>
    <w:rsid w:val="3CAA141B"/>
    <w:rsid w:val="3CC35CD3"/>
    <w:rsid w:val="3CCA5CE5"/>
    <w:rsid w:val="3CF50C33"/>
    <w:rsid w:val="3CF74EBC"/>
    <w:rsid w:val="3D193084"/>
    <w:rsid w:val="3D211F38"/>
    <w:rsid w:val="3DB039E8"/>
    <w:rsid w:val="3E151A9D"/>
    <w:rsid w:val="3E164B80"/>
    <w:rsid w:val="3E6079D1"/>
    <w:rsid w:val="3E9E7CE5"/>
    <w:rsid w:val="3EA846BF"/>
    <w:rsid w:val="3EE05BC4"/>
    <w:rsid w:val="3F1C50AD"/>
    <w:rsid w:val="3F23643C"/>
    <w:rsid w:val="3F543478"/>
    <w:rsid w:val="3F7D5B4C"/>
    <w:rsid w:val="3F9B2476"/>
    <w:rsid w:val="3FB13C5A"/>
    <w:rsid w:val="3FFD4EDF"/>
    <w:rsid w:val="40041DC9"/>
    <w:rsid w:val="400E2C48"/>
    <w:rsid w:val="40144798"/>
    <w:rsid w:val="4033445D"/>
    <w:rsid w:val="40896772"/>
    <w:rsid w:val="410D73A4"/>
    <w:rsid w:val="41BB0BAE"/>
    <w:rsid w:val="41CE6B33"/>
    <w:rsid w:val="41D37CA5"/>
    <w:rsid w:val="41D41C6F"/>
    <w:rsid w:val="41E40104"/>
    <w:rsid w:val="41EC38F2"/>
    <w:rsid w:val="41EF563B"/>
    <w:rsid w:val="422229DB"/>
    <w:rsid w:val="42815953"/>
    <w:rsid w:val="428B0580"/>
    <w:rsid w:val="4292190E"/>
    <w:rsid w:val="429D02B3"/>
    <w:rsid w:val="42BC2E2F"/>
    <w:rsid w:val="42F00D2B"/>
    <w:rsid w:val="43170066"/>
    <w:rsid w:val="434150E2"/>
    <w:rsid w:val="43603DBC"/>
    <w:rsid w:val="436314FD"/>
    <w:rsid w:val="437B23A2"/>
    <w:rsid w:val="439416B6"/>
    <w:rsid w:val="43A12193"/>
    <w:rsid w:val="43BD6E5F"/>
    <w:rsid w:val="44183609"/>
    <w:rsid w:val="444529B0"/>
    <w:rsid w:val="44557097"/>
    <w:rsid w:val="445A46AE"/>
    <w:rsid w:val="44627A06"/>
    <w:rsid w:val="44901E7E"/>
    <w:rsid w:val="44B85878"/>
    <w:rsid w:val="44BD4C3D"/>
    <w:rsid w:val="44CE29A6"/>
    <w:rsid w:val="45034D45"/>
    <w:rsid w:val="450E5498"/>
    <w:rsid w:val="4588524B"/>
    <w:rsid w:val="458F6492"/>
    <w:rsid w:val="45965BB9"/>
    <w:rsid w:val="45A02594"/>
    <w:rsid w:val="45C2075D"/>
    <w:rsid w:val="45E32481"/>
    <w:rsid w:val="462F56C6"/>
    <w:rsid w:val="466C691A"/>
    <w:rsid w:val="469651D0"/>
    <w:rsid w:val="4698770F"/>
    <w:rsid w:val="46A6454F"/>
    <w:rsid w:val="46D30747"/>
    <w:rsid w:val="46DB13AA"/>
    <w:rsid w:val="46E91D19"/>
    <w:rsid w:val="46F56910"/>
    <w:rsid w:val="470B343B"/>
    <w:rsid w:val="4723202A"/>
    <w:rsid w:val="472745EF"/>
    <w:rsid w:val="47523D62"/>
    <w:rsid w:val="47702D07"/>
    <w:rsid w:val="4782509F"/>
    <w:rsid w:val="479779C7"/>
    <w:rsid w:val="47A67C0A"/>
    <w:rsid w:val="47C54534"/>
    <w:rsid w:val="47D97FDF"/>
    <w:rsid w:val="48111527"/>
    <w:rsid w:val="481B23A6"/>
    <w:rsid w:val="484216E1"/>
    <w:rsid w:val="488315CD"/>
    <w:rsid w:val="48931F3C"/>
    <w:rsid w:val="48A73C3A"/>
    <w:rsid w:val="48C22822"/>
    <w:rsid w:val="490B18F5"/>
    <w:rsid w:val="490E3CB9"/>
    <w:rsid w:val="49115557"/>
    <w:rsid w:val="491A265E"/>
    <w:rsid w:val="49465201"/>
    <w:rsid w:val="49DC5B65"/>
    <w:rsid w:val="4A394D65"/>
    <w:rsid w:val="4A8E3303"/>
    <w:rsid w:val="4A941E17"/>
    <w:rsid w:val="4AB64608"/>
    <w:rsid w:val="4AE64EED"/>
    <w:rsid w:val="4AE922E8"/>
    <w:rsid w:val="4B29302C"/>
    <w:rsid w:val="4B38326F"/>
    <w:rsid w:val="4B425E9C"/>
    <w:rsid w:val="4B5350DC"/>
    <w:rsid w:val="4B5A31E5"/>
    <w:rsid w:val="4B6D2F19"/>
    <w:rsid w:val="4B985ABC"/>
    <w:rsid w:val="4BDE3E16"/>
    <w:rsid w:val="4BF21670"/>
    <w:rsid w:val="4BFE0015"/>
    <w:rsid w:val="4C173A64"/>
    <w:rsid w:val="4C2C4B82"/>
    <w:rsid w:val="4CAF7561"/>
    <w:rsid w:val="4CC34DBA"/>
    <w:rsid w:val="4CDB2104"/>
    <w:rsid w:val="4D2A5891"/>
    <w:rsid w:val="4DEB6377"/>
    <w:rsid w:val="4E092CA1"/>
    <w:rsid w:val="4E127DA7"/>
    <w:rsid w:val="4E192EE4"/>
    <w:rsid w:val="4E685C19"/>
    <w:rsid w:val="4EAA6232"/>
    <w:rsid w:val="4EC07803"/>
    <w:rsid w:val="4EC372F3"/>
    <w:rsid w:val="4ECE2238"/>
    <w:rsid w:val="4EDB463D"/>
    <w:rsid w:val="4EE5726A"/>
    <w:rsid w:val="4F1D6A04"/>
    <w:rsid w:val="4F7D3172"/>
    <w:rsid w:val="4FC9093A"/>
    <w:rsid w:val="50526B81"/>
    <w:rsid w:val="5055041F"/>
    <w:rsid w:val="506F14E1"/>
    <w:rsid w:val="5079410E"/>
    <w:rsid w:val="50850658"/>
    <w:rsid w:val="50C03AEB"/>
    <w:rsid w:val="50D53772"/>
    <w:rsid w:val="5118437D"/>
    <w:rsid w:val="511856D5"/>
    <w:rsid w:val="51316796"/>
    <w:rsid w:val="51360251"/>
    <w:rsid w:val="514320AA"/>
    <w:rsid w:val="51856AE2"/>
    <w:rsid w:val="51890380"/>
    <w:rsid w:val="519F7BA4"/>
    <w:rsid w:val="51DC0DF8"/>
    <w:rsid w:val="51F872B4"/>
    <w:rsid w:val="52295A90"/>
    <w:rsid w:val="523429E2"/>
    <w:rsid w:val="5237602E"/>
    <w:rsid w:val="530A729F"/>
    <w:rsid w:val="53281E1B"/>
    <w:rsid w:val="532A3D9A"/>
    <w:rsid w:val="532C5467"/>
    <w:rsid w:val="53620E89"/>
    <w:rsid w:val="537D47AC"/>
    <w:rsid w:val="53982AFD"/>
    <w:rsid w:val="53B67427"/>
    <w:rsid w:val="53B92A73"/>
    <w:rsid w:val="53DE7C4B"/>
    <w:rsid w:val="53EA5C7B"/>
    <w:rsid w:val="542E3461"/>
    <w:rsid w:val="545A6004"/>
    <w:rsid w:val="548A4B3B"/>
    <w:rsid w:val="54E51D72"/>
    <w:rsid w:val="550132AE"/>
    <w:rsid w:val="552C79A0"/>
    <w:rsid w:val="5560764A"/>
    <w:rsid w:val="55741347"/>
    <w:rsid w:val="557B26D6"/>
    <w:rsid w:val="55AF05D2"/>
    <w:rsid w:val="55BB6F76"/>
    <w:rsid w:val="55C45E2B"/>
    <w:rsid w:val="55E53CBD"/>
    <w:rsid w:val="56152E96"/>
    <w:rsid w:val="56C360E3"/>
    <w:rsid w:val="56C37E91"/>
    <w:rsid w:val="56FE711B"/>
    <w:rsid w:val="5717642E"/>
    <w:rsid w:val="5765719A"/>
    <w:rsid w:val="576F0018"/>
    <w:rsid w:val="578C0494"/>
    <w:rsid w:val="57C2639A"/>
    <w:rsid w:val="57C61656"/>
    <w:rsid w:val="57CC0FC7"/>
    <w:rsid w:val="57F329F7"/>
    <w:rsid w:val="581F37ED"/>
    <w:rsid w:val="58247055"/>
    <w:rsid w:val="584119B5"/>
    <w:rsid w:val="584A642E"/>
    <w:rsid w:val="58690919"/>
    <w:rsid w:val="5870229A"/>
    <w:rsid w:val="58B24661"/>
    <w:rsid w:val="58CB127E"/>
    <w:rsid w:val="597E2795"/>
    <w:rsid w:val="59C56616"/>
    <w:rsid w:val="59C97EB4"/>
    <w:rsid w:val="59CC1752"/>
    <w:rsid w:val="59D0169C"/>
    <w:rsid w:val="59E44CEE"/>
    <w:rsid w:val="59E85E60"/>
    <w:rsid w:val="59F20A8D"/>
    <w:rsid w:val="59F97341"/>
    <w:rsid w:val="5A0C1173"/>
    <w:rsid w:val="5A332B37"/>
    <w:rsid w:val="5A4532B2"/>
    <w:rsid w:val="5A455061"/>
    <w:rsid w:val="5A5A6D5E"/>
    <w:rsid w:val="5A6108A6"/>
    <w:rsid w:val="5AB346C0"/>
    <w:rsid w:val="5ABE6CD9"/>
    <w:rsid w:val="5AC24903"/>
    <w:rsid w:val="5ADD173D"/>
    <w:rsid w:val="5AF2343A"/>
    <w:rsid w:val="5B044F1C"/>
    <w:rsid w:val="5B24736C"/>
    <w:rsid w:val="5B386973"/>
    <w:rsid w:val="5B444E92"/>
    <w:rsid w:val="5B7A6F8C"/>
    <w:rsid w:val="5BE10DB9"/>
    <w:rsid w:val="5BF705DC"/>
    <w:rsid w:val="5C2C57D9"/>
    <w:rsid w:val="5C553C81"/>
    <w:rsid w:val="5C924EDC"/>
    <w:rsid w:val="5C936557"/>
    <w:rsid w:val="5CBC5AAE"/>
    <w:rsid w:val="5CBF10FA"/>
    <w:rsid w:val="5CD56B70"/>
    <w:rsid w:val="5CF74D38"/>
    <w:rsid w:val="5D0B2591"/>
    <w:rsid w:val="5D215911"/>
    <w:rsid w:val="5D2418A5"/>
    <w:rsid w:val="5D610403"/>
    <w:rsid w:val="5D7874FB"/>
    <w:rsid w:val="5D812854"/>
    <w:rsid w:val="5D852344"/>
    <w:rsid w:val="5D891708"/>
    <w:rsid w:val="5E6F6B50"/>
    <w:rsid w:val="5E7B386D"/>
    <w:rsid w:val="5E8118B4"/>
    <w:rsid w:val="5E9D190F"/>
    <w:rsid w:val="5E9D546B"/>
    <w:rsid w:val="5EB34C8F"/>
    <w:rsid w:val="5EE44E48"/>
    <w:rsid w:val="5EE4753E"/>
    <w:rsid w:val="5EEB4428"/>
    <w:rsid w:val="5F1514A5"/>
    <w:rsid w:val="5FB41168"/>
    <w:rsid w:val="5FE07D05"/>
    <w:rsid w:val="5FEC48FC"/>
    <w:rsid w:val="5FFE1F39"/>
    <w:rsid w:val="602F2A3B"/>
    <w:rsid w:val="60372B4A"/>
    <w:rsid w:val="605204D7"/>
    <w:rsid w:val="605E50CE"/>
    <w:rsid w:val="606F4BE5"/>
    <w:rsid w:val="60885CA7"/>
    <w:rsid w:val="6089214B"/>
    <w:rsid w:val="60DF7FBD"/>
    <w:rsid w:val="60F4787E"/>
    <w:rsid w:val="611D6D37"/>
    <w:rsid w:val="61C0288B"/>
    <w:rsid w:val="62206ADF"/>
    <w:rsid w:val="622B0FE0"/>
    <w:rsid w:val="62764951"/>
    <w:rsid w:val="62886432"/>
    <w:rsid w:val="62CB4773"/>
    <w:rsid w:val="62E93375"/>
    <w:rsid w:val="63097573"/>
    <w:rsid w:val="631101D6"/>
    <w:rsid w:val="632C14B3"/>
    <w:rsid w:val="634560D1"/>
    <w:rsid w:val="634B7B8C"/>
    <w:rsid w:val="635602DE"/>
    <w:rsid w:val="636B1FDC"/>
    <w:rsid w:val="639363DB"/>
    <w:rsid w:val="63AB687C"/>
    <w:rsid w:val="63B219B9"/>
    <w:rsid w:val="63CE5B7B"/>
    <w:rsid w:val="63D06652"/>
    <w:rsid w:val="63D318C5"/>
    <w:rsid w:val="640D6BEF"/>
    <w:rsid w:val="64405216"/>
    <w:rsid w:val="64544002"/>
    <w:rsid w:val="64C80D68"/>
    <w:rsid w:val="64D11A02"/>
    <w:rsid w:val="650C315F"/>
    <w:rsid w:val="65312DB1"/>
    <w:rsid w:val="654F0241"/>
    <w:rsid w:val="658F06A3"/>
    <w:rsid w:val="65901886"/>
    <w:rsid w:val="65C6174B"/>
    <w:rsid w:val="65C94D98"/>
    <w:rsid w:val="65DA0D53"/>
    <w:rsid w:val="66063D6F"/>
    <w:rsid w:val="660B715E"/>
    <w:rsid w:val="662D3578"/>
    <w:rsid w:val="663049BC"/>
    <w:rsid w:val="66613222"/>
    <w:rsid w:val="669D5FB2"/>
    <w:rsid w:val="66D460EA"/>
    <w:rsid w:val="66E526C1"/>
    <w:rsid w:val="679073C5"/>
    <w:rsid w:val="67AB6E4B"/>
    <w:rsid w:val="67C13921"/>
    <w:rsid w:val="67D31EFE"/>
    <w:rsid w:val="67FA37DE"/>
    <w:rsid w:val="684B04B8"/>
    <w:rsid w:val="68725BBA"/>
    <w:rsid w:val="688A2F04"/>
    <w:rsid w:val="688B47FD"/>
    <w:rsid w:val="68B03FED"/>
    <w:rsid w:val="68D0643D"/>
    <w:rsid w:val="69194288"/>
    <w:rsid w:val="69733998"/>
    <w:rsid w:val="69951B60"/>
    <w:rsid w:val="69967687"/>
    <w:rsid w:val="6A0171F6"/>
    <w:rsid w:val="6A2C1D99"/>
    <w:rsid w:val="6A4175F2"/>
    <w:rsid w:val="6A90057A"/>
    <w:rsid w:val="6A971908"/>
    <w:rsid w:val="6B1940CB"/>
    <w:rsid w:val="6B2018FE"/>
    <w:rsid w:val="6B6712DB"/>
    <w:rsid w:val="6BE97F42"/>
    <w:rsid w:val="6C0C59DE"/>
    <w:rsid w:val="6C3B62C3"/>
    <w:rsid w:val="6C4433CA"/>
    <w:rsid w:val="6C4B4758"/>
    <w:rsid w:val="6C4B4B3C"/>
    <w:rsid w:val="6C5D623A"/>
    <w:rsid w:val="6CB542C8"/>
    <w:rsid w:val="6CC22541"/>
    <w:rsid w:val="6CC53EFA"/>
    <w:rsid w:val="6CCA7D73"/>
    <w:rsid w:val="6CDE381E"/>
    <w:rsid w:val="6D2F5E28"/>
    <w:rsid w:val="6D396CA7"/>
    <w:rsid w:val="6D6F4477"/>
    <w:rsid w:val="6DBE4D82"/>
    <w:rsid w:val="6DEF7365"/>
    <w:rsid w:val="6DFD5F26"/>
    <w:rsid w:val="6E58315D"/>
    <w:rsid w:val="6E7A30D3"/>
    <w:rsid w:val="6E9A7F7A"/>
    <w:rsid w:val="6EAB5982"/>
    <w:rsid w:val="6EC86534"/>
    <w:rsid w:val="6ECD3B4B"/>
    <w:rsid w:val="6F241291"/>
    <w:rsid w:val="6F3040D9"/>
    <w:rsid w:val="6F3E2352"/>
    <w:rsid w:val="6F4D6A39"/>
    <w:rsid w:val="6F52169D"/>
    <w:rsid w:val="6F60051B"/>
    <w:rsid w:val="6F885CC3"/>
    <w:rsid w:val="6F997F32"/>
    <w:rsid w:val="6FE74798"/>
    <w:rsid w:val="6FF670D1"/>
    <w:rsid w:val="6FF84BF7"/>
    <w:rsid w:val="6FFD220E"/>
    <w:rsid w:val="708016CC"/>
    <w:rsid w:val="70BD7BEF"/>
    <w:rsid w:val="70DA60AB"/>
    <w:rsid w:val="70ED16E4"/>
    <w:rsid w:val="71C939EF"/>
    <w:rsid w:val="72734D90"/>
    <w:rsid w:val="72834520"/>
    <w:rsid w:val="728409C4"/>
    <w:rsid w:val="728E35F1"/>
    <w:rsid w:val="72D354A8"/>
    <w:rsid w:val="72E94CCB"/>
    <w:rsid w:val="7358734E"/>
    <w:rsid w:val="738B18DE"/>
    <w:rsid w:val="739B4217"/>
    <w:rsid w:val="73A429A0"/>
    <w:rsid w:val="73CB43D1"/>
    <w:rsid w:val="740578E3"/>
    <w:rsid w:val="743326A2"/>
    <w:rsid w:val="749B0247"/>
    <w:rsid w:val="75243D99"/>
    <w:rsid w:val="75415735"/>
    <w:rsid w:val="75522B77"/>
    <w:rsid w:val="757A1C0A"/>
    <w:rsid w:val="75952EE8"/>
    <w:rsid w:val="75BA294F"/>
    <w:rsid w:val="75CB690A"/>
    <w:rsid w:val="75CF01A8"/>
    <w:rsid w:val="75F55FDA"/>
    <w:rsid w:val="75F75951"/>
    <w:rsid w:val="760140DA"/>
    <w:rsid w:val="76124539"/>
    <w:rsid w:val="763E532E"/>
    <w:rsid w:val="766A7ED1"/>
    <w:rsid w:val="767B3EE5"/>
    <w:rsid w:val="76B455F0"/>
    <w:rsid w:val="76BB24DB"/>
    <w:rsid w:val="76FC72E8"/>
    <w:rsid w:val="771C7537"/>
    <w:rsid w:val="7749464F"/>
    <w:rsid w:val="778D031B"/>
    <w:rsid w:val="779E42D6"/>
    <w:rsid w:val="779F1DFC"/>
    <w:rsid w:val="780C4452"/>
    <w:rsid w:val="782567A5"/>
    <w:rsid w:val="78827754"/>
    <w:rsid w:val="78866B18"/>
    <w:rsid w:val="78EF103C"/>
    <w:rsid w:val="79110AD8"/>
    <w:rsid w:val="791D56CF"/>
    <w:rsid w:val="791F31F5"/>
    <w:rsid w:val="79246A5D"/>
    <w:rsid w:val="792F612B"/>
    <w:rsid w:val="796432FD"/>
    <w:rsid w:val="797C0647"/>
    <w:rsid w:val="79BA116F"/>
    <w:rsid w:val="79BD656A"/>
    <w:rsid w:val="79C80D2C"/>
    <w:rsid w:val="79E9735F"/>
    <w:rsid w:val="79FF4DD4"/>
    <w:rsid w:val="7A24483B"/>
    <w:rsid w:val="7A2A00A3"/>
    <w:rsid w:val="7A49604F"/>
    <w:rsid w:val="7A5C2227"/>
    <w:rsid w:val="7A7430CC"/>
    <w:rsid w:val="7A861779"/>
    <w:rsid w:val="7AA15E8B"/>
    <w:rsid w:val="7AAF053F"/>
    <w:rsid w:val="7AC35E02"/>
    <w:rsid w:val="7AD16771"/>
    <w:rsid w:val="7AD41DBD"/>
    <w:rsid w:val="7AE77D42"/>
    <w:rsid w:val="7AE83ABA"/>
    <w:rsid w:val="7AF661D7"/>
    <w:rsid w:val="7B2C1BF9"/>
    <w:rsid w:val="7BD26991"/>
    <w:rsid w:val="7BD36518"/>
    <w:rsid w:val="7BD83B2F"/>
    <w:rsid w:val="7BDC2D23"/>
    <w:rsid w:val="7BE2675B"/>
    <w:rsid w:val="7BE57079"/>
    <w:rsid w:val="7C1903CF"/>
    <w:rsid w:val="7C5A2796"/>
    <w:rsid w:val="7C6333F8"/>
    <w:rsid w:val="7C635AEE"/>
    <w:rsid w:val="7C86358B"/>
    <w:rsid w:val="7CA0464C"/>
    <w:rsid w:val="7CAB6CF8"/>
    <w:rsid w:val="7CAF663E"/>
    <w:rsid w:val="7CB43C54"/>
    <w:rsid w:val="7CC04CEF"/>
    <w:rsid w:val="7CD73DE6"/>
    <w:rsid w:val="7D1D5C9D"/>
    <w:rsid w:val="7D242CE0"/>
    <w:rsid w:val="7D665BA9"/>
    <w:rsid w:val="7D69532F"/>
    <w:rsid w:val="7D7D04EA"/>
    <w:rsid w:val="7DAA34BA"/>
    <w:rsid w:val="7DBF0B02"/>
    <w:rsid w:val="7DF2712A"/>
    <w:rsid w:val="7E83646B"/>
    <w:rsid w:val="7EA61CC2"/>
    <w:rsid w:val="7EE051D4"/>
    <w:rsid w:val="7F4734A5"/>
    <w:rsid w:val="7F8D69DE"/>
    <w:rsid w:val="7FA44454"/>
    <w:rsid w:val="7FAE7080"/>
    <w:rsid w:val="7FB641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HTML Preformatted"/>
    <w:basedOn w:val="1"/>
    <w:qFormat/>
    <w:uiPriority w:val="99"/>
    <w:rPr>
      <w:rFonts w:ascii="Courier New" w:hAnsi="Courier New" w:cs="Courier New"/>
      <w:sz w:val="20"/>
      <w:szCs w:val="20"/>
    </w:rPr>
  </w:style>
  <w:style w:type="paragraph" w:styleId="13">
    <w:name w:val="Normal (Web)"/>
    <w:basedOn w:val="1"/>
    <w:semiHidden/>
    <w:unhideWhenUsed/>
    <w:qFormat/>
    <w:uiPriority w:val="99"/>
    <w:pPr>
      <w:spacing w:beforeAutospacing="1" w:afterAutospacing="1"/>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正文 A"/>
    <w:qFormat/>
    <w:uiPriority w:val="99"/>
    <w:pPr>
      <w:framePr w:wrap="around" w:vAnchor="margin" w:hAnchor="text" w:yAlign="top"/>
      <w:widowControl w:val="0"/>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2C729-894D-4F56-BB2F-B068D2B7CBA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8386</Words>
  <Characters>1146</Characters>
  <Lines>9</Lines>
  <Paragraphs>19</Paragraphs>
  <TotalTime>1</TotalTime>
  <ScaleCrop>false</ScaleCrop>
  <LinksUpToDate>false</LinksUpToDate>
  <CharactersWithSpaces>9513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2021-11-11T08:35:00Z</cp:lastPrinted>
  <dcterms:modified xsi:type="dcterms:W3CDTF">2021-11-23T06:57:23Z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F0C9E2E5A48E4022AAC6C78B311DC96A</vt:lpwstr>
  </property>
</Properties>
</file>